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48" w:rsidRPr="002C6871" w:rsidRDefault="00EB6F48">
      <w:pPr>
        <w:rPr>
          <w:b/>
          <w:sz w:val="24"/>
          <w:szCs w:val="24"/>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7934"/>
      </w:tblGrid>
      <w:tr w:rsidR="0035073D" w:rsidRPr="005972A6" w:rsidTr="004F0B5D">
        <w:tc>
          <w:tcPr>
            <w:tcW w:w="1626" w:type="dxa"/>
            <w:shd w:val="pct10" w:color="auto" w:fill="auto"/>
            <w:vAlign w:val="bottom"/>
          </w:tcPr>
          <w:p w:rsidR="00322F21" w:rsidRPr="005972A6" w:rsidRDefault="00322F21">
            <w:pPr>
              <w:rPr>
                <w:rFonts w:asciiTheme="minorHAnsi" w:hAnsiTheme="minorHAnsi"/>
                <w:color w:val="000000"/>
              </w:rPr>
            </w:pPr>
            <w:r w:rsidRPr="005972A6">
              <w:rPr>
                <w:rFonts w:asciiTheme="minorHAnsi" w:hAnsiTheme="minorHAnsi"/>
                <w:color w:val="000000"/>
              </w:rPr>
              <w:t>1. Name of indicator</w:t>
            </w:r>
          </w:p>
        </w:tc>
        <w:tc>
          <w:tcPr>
            <w:tcW w:w="7934" w:type="dxa"/>
            <w:shd w:val="pct10" w:color="auto" w:fill="auto"/>
          </w:tcPr>
          <w:p w:rsidR="00220582" w:rsidRPr="005972A6" w:rsidRDefault="00F77F46" w:rsidP="00220582">
            <w:pPr>
              <w:jc w:val="both"/>
              <w:rPr>
                <w:rFonts w:asciiTheme="minorHAnsi" w:hAnsiTheme="minorHAnsi"/>
                <w:b/>
              </w:rPr>
            </w:pPr>
            <w:r w:rsidRPr="005972A6">
              <w:rPr>
                <w:rFonts w:asciiTheme="minorHAnsi" w:hAnsiTheme="minorHAnsi"/>
                <w:b/>
              </w:rPr>
              <w:t>Share of EU funded international cooperation and development assistance directed towards supporting Human Development</w:t>
            </w:r>
          </w:p>
        </w:tc>
      </w:tr>
      <w:tr w:rsidR="0035073D" w:rsidRPr="005972A6" w:rsidTr="004F0B5D">
        <w:tc>
          <w:tcPr>
            <w:tcW w:w="1626" w:type="dxa"/>
            <w:tcBorders>
              <w:bottom w:val="single" w:sz="4" w:space="0" w:color="auto"/>
            </w:tcBorders>
            <w:shd w:val="clear" w:color="auto" w:fill="auto"/>
            <w:vAlign w:val="bottom"/>
          </w:tcPr>
          <w:p w:rsidR="00322F21" w:rsidRPr="005972A6" w:rsidRDefault="00322F21">
            <w:pPr>
              <w:rPr>
                <w:rFonts w:asciiTheme="minorHAnsi" w:hAnsiTheme="minorHAnsi"/>
                <w:color w:val="000000"/>
              </w:rPr>
            </w:pPr>
          </w:p>
        </w:tc>
        <w:tc>
          <w:tcPr>
            <w:tcW w:w="7934" w:type="dxa"/>
            <w:tcBorders>
              <w:bottom w:val="single" w:sz="4" w:space="0" w:color="auto"/>
            </w:tcBorders>
            <w:shd w:val="clear" w:color="auto" w:fill="auto"/>
          </w:tcPr>
          <w:p w:rsidR="00322F21" w:rsidRPr="005972A6" w:rsidRDefault="00322F21">
            <w:pPr>
              <w:rPr>
                <w:rFonts w:asciiTheme="minorHAnsi" w:hAnsiTheme="minorHAnsi"/>
              </w:rPr>
            </w:pPr>
          </w:p>
        </w:tc>
      </w:tr>
      <w:tr w:rsidR="0035073D" w:rsidRPr="005972A6" w:rsidTr="004F0B5D">
        <w:tc>
          <w:tcPr>
            <w:tcW w:w="1626" w:type="dxa"/>
            <w:shd w:val="pct10" w:color="auto" w:fill="auto"/>
          </w:tcPr>
          <w:p w:rsidR="00322F21" w:rsidRPr="005972A6" w:rsidRDefault="00322F21" w:rsidP="00631D80">
            <w:pPr>
              <w:rPr>
                <w:rFonts w:asciiTheme="minorHAnsi" w:hAnsiTheme="minorHAnsi"/>
                <w:color w:val="000000"/>
              </w:rPr>
            </w:pPr>
            <w:r w:rsidRPr="005972A6">
              <w:rPr>
                <w:rFonts w:asciiTheme="minorHAnsi" w:hAnsiTheme="minorHAnsi"/>
                <w:color w:val="000000"/>
              </w:rPr>
              <w:t xml:space="preserve">3. Technical Definition </w:t>
            </w:r>
          </w:p>
        </w:tc>
        <w:tc>
          <w:tcPr>
            <w:tcW w:w="7934" w:type="dxa"/>
            <w:shd w:val="pct10" w:color="auto" w:fill="auto"/>
          </w:tcPr>
          <w:p w:rsidR="00220582" w:rsidRPr="005972A6" w:rsidRDefault="0035073D" w:rsidP="00763677">
            <w:pPr>
              <w:autoSpaceDE w:val="0"/>
              <w:autoSpaceDN w:val="0"/>
              <w:adjustRightInd w:val="0"/>
              <w:spacing w:after="0" w:line="240" w:lineRule="auto"/>
              <w:rPr>
                <w:rFonts w:asciiTheme="minorHAnsi" w:eastAsia="Times New Roman" w:hAnsiTheme="minorHAnsi"/>
                <w:color w:val="000000"/>
                <w:lang w:eastAsia="en-GB"/>
              </w:rPr>
            </w:pPr>
            <w:r w:rsidRPr="005972A6">
              <w:rPr>
                <w:rFonts w:asciiTheme="minorHAnsi" w:eastAsia="Times New Roman" w:hAnsiTheme="minorHAnsi"/>
                <w:color w:val="000000"/>
                <w:lang w:eastAsia="en-GB"/>
              </w:rPr>
              <w:t xml:space="preserve">The indicator </w:t>
            </w:r>
            <w:r w:rsidR="00220582" w:rsidRPr="005972A6">
              <w:rPr>
                <w:rFonts w:asciiTheme="minorHAnsi" w:eastAsia="Times New Roman" w:hAnsiTheme="minorHAnsi"/>
                <w:color w:val="000000"/>
                <w:lang w:eastAsia="en-GB"/>
              </w:rPr>
              <w:t xml:space="preserve">is included at Level 3 of the EU Results Framework (Organisational performance) and aims to report the mainstreaming of </w:t>
            </w:r>
            <w:r w:rsidR="00F77F46" w:rsidRPr="005972A6">
              <w:rPr>
                <w:rFonts w:asciiTheme="minorHAnsi" w:eastAsia="Times New Roman" w:hAnsiTheme="minorHAnsi"/>
                <w:color w:val="000000"/>
                <w:lang w:eastAsia="en-GB"/>
              </w:rPr>
              <w:t xml:space="preserve">human development </w:t>
            </w:r>
            <w:r w:rsidR="00220582" w:rsidRPr="005972A6">
              <w:rPr>
                <w:rFonts w:asciiTheme="minorHAnsi" w:eastAsia="Times New Roman" w:hAnsiTheme="minorHAnsi"/>
                <w:color w:val="000000"/>
                <w:lang w:eastAsia="en-GB"/>
              </w:rPr>
              <w:t>in EU funded assistance.</w:t>
            </w:r>
          </w:p>
          <w:p w:rsidR="00220582" w:rsidRPr="005972A6" w:rsidRDefault="00220582" w:rsidP="00763677">
            <w:pPr>
              <w:autoSpaceDE w:val="0"/>
              <w:autoSpaceDN w:val="0"/>
              <w:adjustRightInd w:val="0"/>
              <w:spacing w:after="0" w:line="240" w:lineRule="auto"/>
              <w:rPr>
                <w:rFonts w:asciiTheme="minorHAnsi" w:eastAsia="Times New Roman" w:hAnsiTheme="minorHAnsi"/>
                <w:color w:val="000000"/>
                <w:lang w:eastAsia="en-GB"/>
              </w:rPr>
            </w:pPr>
          </w:p>
          <w:p w:rsidR="00676918" w:rsidRPr="005972A6" w:rsidRDefault="00220582" w:rsidP="00220582">
            <w:pPr>
              <w:autoSpaceDE w:val="0"/>
              <w:autoSpaceDN w:val="0"/>
              <w:adjustRightInd w:val="0"/>
              <w:spacing w:after="0" w:line="240" w:lineRule="auto"/>
              <w:rPr>
                <w:rFonts w:asciiTheme="minorHAnsi" w:eastAsia="Times New Roman" w:hAnsiTheme="minorHAnsi"/>
                <w:color w:val="000000"/>
                <w:lang w:eastAsia="en-GB"/>
              </w:rPr>
            </w:pPr>
            <w:r w:rsidRPr="005972A6">
              <w:rPr>
                <w:rFonts w:asciiTheme="minorHAnsi" w:eastAsia="Times New Roman" w:hAnsiTheme="minorHAnsi"/>
                <w:color w:val="000000"/>
                <w:lang w:eastAsia="en-GB"/>
              </w:rPr>
              <w:t xml:space="preserve">It </w:t>
            </w:r>
            <w:r w:rsidR="0035073D" w:rsidRPr="005972A6">
              <w:rPr>
                <w:rFonts w:asciiTheme="minorHAnsi" w:eastAsia="Times New Roman" w:hAnsiTheme="minorHAnsi"/>
                <w:color w:val="000000"/>
                <w:lang w:eastAsia="en-GB"/>
              </w:rPr>
              <w:t xml:space="preserve">will report </w:t>
            </w:r>
            <w:r w:rsidR="00FA394F" w:rsidRPr="005972A6">
              <w:rPr>
                <w:rFonts w:asciiTheme="minorHAnsi" w:eastAsia="Times New Roman" w:hAnsiTheme="minorHAnsi"/>
                <w:color w:val="000000"/>
                <w:lang w:eastAsia="en-GB"/>
              </w:rPr>
              <w:t>the</w:t>
            </w:r>
            <w:r w:rsidR="0035073D" w:rsidRPr="005972A6">
              <w:rPr>
                <w:rFonts w:asciiTheme="minorHAnsi" w:eastAsia="Times New Roman" w:hAnsiTheme="minorHAnsi"/>
                <w:color w:val="000000"/>
                <w:lang w:eastAsia="en-GB"/>
              </w:rPr>
              <w:t xml:space="preserve"> financial value of EU funded development co</w:t>
            </w:r>
            <w:r w:rsidR="00763677" w:rsidRPr="005972A6">
              <w:rPr>
                <w:rFonts w:asciiTheme="minorHAnsi" w:eastAsia="Times New Roman" w:hAnsiTheme="minorHAnsi"/>
                <w:color w:val="000000"/>
                <w:lang w:eastAsia="en-GB"/>
              </w:rPr>
              <w:t xml:space="preserve">operation </w:t>
            </w:r>
            <w:r w:rsidR="00F77F46" w:rsidRPr="005972A6">
              <w:rPr>
                <w:rFonts w:asciiTheme="minorHAnsi" w:eastAsia="Times New Roman" w:hAnsiTheme="minorHAnsi"/>
                <w:color w:val="000000"/>
                <w:lang w:eastAsia="en-GB"/>
              </w:rPr>
              <w:t>commitment towards human development on an annual basis.</w:t>
            </w:r>
          </w:p>
          <w:p w:rsidR="008269B5" w:rsidRPr="005972A6" w:rsidRDefault="008269B5" w:rsidP="00220582">
            <w:pPr>
              <w:autoSpaceDE w:val="0"/>
              <w:autoSpaceDN w:val="0"/>
              <w:adjustRightInd w:val="0"/>
              <w:spacing w:after="0" w:line="240" w:lineRule="auto"/>
              <w:rPr>
                <w:rFonts w:asciiTheme="minorHAnsi" w:eastAsia="Times New Roman" w:hAnsiTheme="minorHAnsi"/>
                <w:color w:val="000000"/>
                <w:lang w:eastAsia="en-GB"/>
              </w:rPr>
            </w:pPr>
          </w:p>
          <w:p w:rsidR="008269B5" w:rsidRPr="005972A6" w:rsidRDefault="008269B5" w:rsidP="008269B5">
            <w:pPr>
              <w:jc w:val="both"/>
              <w:rPr>
                <w:rFonts w:asciiTheme="minorHAnsi" w:hAnsiTheme="minorHAnsi"/>
              </w:rPr>
            </w:pPr>
            <w:r w:rsidRPr="005972A6">
              <w:rPr>
                <w:rFonts w:asciiTheme="minorHAnsi" w:hAnsiTheme="minorHAnsi"/>
              </w:rPr>
              <w:t xml:space="preserve">In line with the Council conclusions on the Agenda for Change, human development </w:t>
            </w:r>
            <w:r w:rsidRPr="005972A6">
              <w:rPr>
                <w:rFonts w:asciiTheme="minorHAnsi" w:hAnsiTheme="minorHAnsi"/>
                <w:b/>
              </w:rPr>
              <w:t xml:space="preserve">is </w:t>
            </w:r>
            <w:r w:rsidRPr="005972A6">
              <w:rPr>
                <w:rFonts w:asciiTheme="minorHAnsi" w:hAnsiTheme="minorHAnsi"/>
              </w:rPr>
              <w:t>here defined encompassing the following sectors:</w:t>
            </w:r>
          </w:p>
          <w:p w:rsidR="008269B5" w:rsidRPr="005972A6" w:rsidRDefault="008269B5" w:rsidP="008269B5">
            <w:pPr>
              <w:pStyle w:val="ListParagraph"/>
              <w:numPr>
                <w:ilvl w:val="0"/>
                <w:numId w:val="5"/>
              </w:numPr>
              <w:jc w:val="both"/>
              <w:rPr>
                <w:rFonts w:asciiTheme="minorHAnsi" w:hAnsiTheme="minorHAnsi"/>
              </w:rPr>
            </w:pPr>
            <w:r w:rsidRPr="005972A6">
              <w:rPr>
                <w:rFonts w:asciiTheme="minorHAnsi" w:hAnsiTheme="minorHAnsi"/>
              </w:rPr>
              <w:t>Health</w:t>
            </w:r>
          </w:p>
          <w:p w:rsidR="008269B5" w:rsidRPr="005972A6" w:rsidRDefault="008269B5" w:rsidP="00182553">
            <w:pPr>
              <w:pStyle w:val="ListParagraph"/>
              <w:numPr>
                <w:ilvl w:val="0"/>
                <w:numId w:val="5"/>
              </w:numPr>
              <w:autoSpaceDE w:val="0"/>
              <w:autoSpaceDN w:val="0"/>
              <w:adjustRightInd w:val="0"/>
              <w:spacing w:after="0" w:line="240" w:lineRule="auto"/>
              <w:jc w:val="both"/>
              <w:rPr>
                <w:rFonts w:asciiTheme="minorHAnsi" w:eastAsia="Times New Roman" w:hAnsiTheme="minorHAnsi"/>
                <w:color w:val="000000"/>
                <w:lang w:eastAsia="en-GB"/>
              </w:rPr>
            </w:pPr>
            <w:r w:rsidRPr="005972A6">
              <w:rPr>
                <w:rFonts w:asciiTheme="minorHAnsi" w:hAnsiTheme="minorHAnsi"/>
              </w:rPr>
              <w:t>Education</w:t>
            </w:r>
          </w:p>
          <w:p w:rsidR="008269B5" w:rsidRPr="005972A6" w:rsidRDefault="008269B5" w:rsidP="00182553">
            <w:pPr>
              <w:pStyle w:val="ListParagraph"/>
              <w:numPr>
                <w:ilvl w:val="0"/>
                <w:numId w:val="5"/>
              </w:numPr>
              <w:autoSpaceDE w:val="0"/>
              <w:autoSpaceDN w:val="0"/>
              <w:adjustRightInd w:val="0"/>
              <w:spacing w:after="0" w:line="240" w:lineRule="auto"/>
              <w:jc w:val="both"/>
              <w:rPr>
                <w:rFonts w:asciiTheme="minorHAnsi" w:eastAsia="Times New Roman" w:hAnsiTheme="minorHAnsi"/>
                <w:color w:val="000000"/>
                <w:lang w:eastAsia="en-GB"/>
              </w:rPr>
            </w:pPr>
            <w:r w:rsidRPr="005972A6">
              <w:rPr>
                <w:rFonts w:asciiTheme="minorHAnsi" w:hAnsiTheme="minorHAnsi"/>
              </w:rPr>
              <w:t>Social Protection and Services (including social transfers)</w:t>
            </w:r>
          </w:p>
          <w:p w:rsidR="00763677" w:rsidRPr="005972A6" w:rsidRDefault="00763677" w:rsidP="00763677">
            <w:pPr>
              <w:autoSpaceDE w:val="0"/>
              <w:autoSpaceDN w:val="0"/>
              <w:adjustRightInd w:val="0"/>
              <w:spacing w:after="0" w:line="240" w:lineRule="auto"/>
              <w:rPr>
                <w:rFonts w:asciiTheme="minorHAnsi" w:hAnsiTheme="minorHAnsi" w:cs="Arial"/>
                <w:lang w:eastAsia="en-GB"/>
              </w:rPr>
            </w:pPr>
          </w:p>
        </w:tc>
      </w:tr>
      <w:tr w:rsidR="0035073D" w:rsidRPr="005972A6" w:rsidTr="004F0B5D">
        <w:tc>
          <w:tcPr>
            <w:tcW w:w="1626" w:type="dxa"/>
            <w:tcBorders>
              <w:bottom w:val="single" w:sz="4" w:space="0" w:color="auto"/>
            </w:tcBorders>
            <w:shd w:val="clear" w:color="auto" w:fill="auto"/>
            <w:vAlign w:val="bottom"/>
          </w:tcPr>
          <w:p w:rsidR="00322F21" w:rsidRPr="005972A6" w:rsidRDefault="00322F21">
            <w:pPr>
              <w:rPr>
                <w:rFonts w:asciiTheme="minorHAnsi" w:hAnsiTheme="minorHAnsi"/>
                <w:color w:val="000000"/>
              </w:rPr>
            </w:pPr>
          </w:p>
        </w:tc>
        <w:tc>
          <w:tcPr>
            <w:tcW w:w="7934" w:type="dxa"/>
            <w:tcBorders>
              <w:bottom w:val="single" w:sz="4" w:space="0" w:color="auto"/>
            </w:tcBorders>
            <w:shd w:val="clear" w:color="auto" w:fill="auto"/>
          </w:tcPr>
          <w:p w:rsidR="00322F21" w:rsidRPr="005972A6" w:rsidRDefault="00322F21">
            <w:pPr>
              <w:rPr>
                <w:rFonts w:asciiTheme="minorHAnsi" w:hAnsiTheme="minorHAnsi"/>
              </w:rPr>
            </w:pPr>
          </w:p>
        </w:tc>
      </w:tr>
      <w:tr w:rsidR="0035073D" w:rsidRPr="005972A6" w:rsidTr="004F0B5D">
        <w:trPr>
          <w:trHeight w:val="1610"/>
        </w:trPr>
        <w:tc>
          <w:tcPr>
            <w:tcW w:w="1626" w:type="dxa"/>
            <w:shd w:val="pct10" w:color="auto" w:fill="auto"/>
          </w:tcPr>
          <w:p w:rsidR="00322F21" w:rsidRPr="005972A6" w:rsidRDefault="00322F21" w:rsidP="000A07C0">
            <w:pPr>
              <w:ind w:right="-255"/>
              <w:rPr>
                <w:rFonts w:asciiTheme="minorHAnsi" w:hAnsiTheme="minorHAnsi"/>
                <w:color w:val="000000"/>
              </w:rPr>
            </w:pPr>
            <w:r w:rsidRPr="005972A6">
              <w:rPr>
                <w:rFonts w:asciiTheme="minorHAnsi" w:hAnsiTheme="minorHAnsi"/>
                <w:color w:val="000000"/>
              </w:rPr>
              <w:t xml:space="preserve">4. Rationale </w:t>
            </w:r>
          </w:p>
        </w:tc>
        <w:tc>
          <w:tcPr>
            <w:tcW w:w="7934" w:type="dxa"/>
            <w:shd w:val="pct10" w:color="auto" w:fill="auto"/>
          </w:tcPr>
          <w:p w:rsidR="00F70229" w:rsidRPr="005972A6" w:rsidRDefault="00F70229" w:rsidP="000C4D76">
            <w:pPr>
              <w:jc w:val="both"/>
              <w:rPr>
                <w:rFonts w:asciiTheme="minorHAnsi" w:hAnsiTheme="minorHAnsi"/>
              </w:rPr>
            </w:pPr>
            <w:r w:rsidRPr="005972A6">
              <w:rPr>
                <w:rFonts w:asciiTheme="minorHAnsi" w:hAnsiTheme="minorHAnsi"/>
              </w:rPr>
              <w:t xml:space="preserve">Human development (HD) is an important component of the EU aid policies; a 20% benchmark was set in the Agenda for Change. In addition, the DCI regulation setting the 2014-2020 financial </w:t>
            </w:r>
            <w:proofErr w:type="gramStart"/>
            <w:r w:rsidRPr="005972A6">
              <w:rPr>
                <w:rFonts w:asciiTheme="minorHAnsi" w:hAnsiTheme="minorHAnsi"/>
              </w:rPr>
              <w:t>framework</w:t>
            </w:r>
            <w:proofErr w:type="gramEnd"/>
            <w:r w:rsidRPr="005972A6">
              <w:rPr>
                <w:rFonts w:asciiTheme="minorHAnsi" w:hAnsiTheme="minorHAnsi"/>
              </w:rPr>
              <w:t xml:space="preserve"> sets a slightly differently defined benchmark. </w:t>
            </w:r>
          </w:p>
          <w:p w:rsidR="00A23A06" w:rsidRPr="005972A6" w:rsidRDefault="00F70229" w:rsidP="00182553">
            <w:pPr>
              <w:rPr>
                <w:rFonts w:asciiTheme="minorHAnsi" w:hAnsiTheme="minorHAnsi"/>
                <w:b/>
              </w:rPr>
            </w:pPr>
            <w:r w:rsidRPr="005972A6">
              <w:rPr>
                <w:rFonts w:asciiTheme="minorHAnsi" w:hAnsiTheme="minorHAnsi"/>
              </w:rPr>
              <w:t xml:space="preserve">The Agenda for Change indicates that </w:t>
            </w:r>
            <w:r w:rsidRPr="005972A6">
              <w:rPr>
                <w:rFonts w:asciiTheme="minorHAnsi" w:hAnsiTheme="minorHAnsi"/>
                <w:bCs/>
              </w:rPr>
              <w:t xml:space="preserve">"The Commission proposes an Agenda for Change that would lead to […] continued support for social inclusion and human development through at least 20% of EU aid"; </w:t>
            </w:r>
            <w:r w:rsidRPr="005972A6">
              <w:rPr>
                <w:rFonts w:asciiTheme="minorHAnsi" w:hAnsiTheme="minorHAnsi"/>
              </w:rPr>
              <w:t>the Council conclusions further outline that "As for inclusive and sustainable growth, support for inclusiveness will be focused primarily on social protection, health and education. Support to social inclusion and human development will continue through at least 20% of EU aid".</w:t>
            </w:r>
          </w:p>
        </w:tc>
      </w:tr>
      <w:tr w:rsidR="0035073D" w:rsidRPr="005972A6" w:rsidTr="004F0B5D">
        <w:trPr>
          <w:trHeight w:val="494"/>
        </w:trPr>
        <w:tc>
          <w:tcPr>
            <w:tcW w:w="1626" w:type="dxa"/>
            <w:shd w:val="clear" w:color="auto" w:fill="auto"/>
          </w:tcPr>
          <w:p w:rsidR="0035073D" w:rsidRPr="005972A6" w:rsidRDefault="0035073D" w:rsidP="000A07C0">
            <w:pPr>
              <w:ind w:right="-255"/>
              <w:rPr>
                <w:rFonts w:asciiTheme="minorHAnsi" w:hAnsiTheme="minorHAnsi"/>
                <w:color w:val="000000"/>
              </w:rPr>
            </w:pPr>
          </w:p>
        </w:tc>
        <w:tc>
          <w:tcPr>
            <w:tcW w:w="7934" w:type="dxa"/>
            <w:shd w:val="clear" w:color="auto" w:fill="auto"/>
          </w:tcPr>
          <w:p w:rsidR="0035073D" w:rsidRPr="005972A6" w:rsidRDefault="0035073D" w:rsidP="007A7A76">
            <w:pPr>
              <w:jc w:val="both"/>
              <w:rPr>
                <w:rFonts w:asciiTheme="minorHAnsi" w:hAnsiTheme="minorHAnsi"/>
                <w:i/>
              </w:rPr>
            </w:pPr>
          </w:p>
        </w:tc>
      </w:tr>
      <w:tr w:rsidR="0035073D" w:rsidRPr="005972A6" w:rsidTr="004F0B5D">
        <w:trPr>
          <w:trHeight w:val="494"/>
        </w:trPr>
        <w:tc>
          <w:tcPr>
            <w:tcW w:w="1626" w:type="dxa"/>
            <w:shd w:val="pct10" w:color="auto" w:fill="auto"/>
          </w:tcPr>
          <w:p w:rsidR="0035073D" w:rsidRPr="005972A6" w:rsidRDefault="0035073D" w:rsidP="009302BB">
            <w:pPr>
              <w:rPr>
                <w:rFonts w:asciiTheme="minorHAnsi" w:hAnsiTheme="minorHAnsi"/>
                <w:color w:val="000000"/>
              </w:rPr>
            </w:pPr>
            <w:r w:rsidRPr="005972A6">
              <w:rPr>
                <w:rFonts w:asciiTheme="minorHAnsi" w:hAnsiTheme="minorHAnsi"/>
                <w:color w:val="000000"/>
              </w:rPr>
              <w:t xml:space="preserve">5. Data calculation </w:t>
            </w:r>
          </w:p>
        </w:tc>
        <w:tc>
          <w:tcPr>
            <w:tcW w:w="7934" w:type="dxa"/>
            <w:shd w:val="clear" w:color="auto" w:fill="D9D9D9" w:themeFill="background1" w:themeFillShade="D9"/>
          </w:tcPr>
          <w:p w:rsidR="00220582" w:rsidRPr="005972A6" w:rsidRDefault="00FA394F" w:rsidP="00220582">
            <w:pPr>
              <w:spacing w:after="0" w:line="240" w:lineRule="auto"/>
              <w:jc w:val="both"/>
              <w:rPr>
                <w:rFonts w:asciiTheme="minorHAnsi" w:hAnsiTheme="minorHAnsi"/>
              </w:rPr>
            </w:pPr>
            <w:r w:rsidRPr="005972A6">
              <w:rPr>
                <w:rFonts w:asciiTheme="minorHAnsi" w:hAnsiTheme="minorHAnsi"/>
              </w:rPr>
              <w:t xml:space="preserve">Yearly </w:t>
            </w:r>
            <w:r w:rsidR="001F1A40">
              <w:rPr>
                <w:rFonts w:asciiTheme="minorHAnsi" w:hAnsiTheme="minorHAnsi"/>
              </w:rPr>
              <w:t xml:space="preserve">ODA </w:t>
            </w:r>
            <w:r w:rsidRPr="005972A6">
              <w:rPr>
                <w:rFonts w:asciiTheme="minorHAnsi" w:hAnsiTheme="minorHAnsi"/>
              </w:rPr>
              <w:t xml:space="preserve">commitments will be reported in </w:t>
            </w:r>
            <w:r w:rsidR="008269B5" w:rsidRPr="005972A6">
              <w:rPr>
                <w:rFonts w:asciiTheme="minorHAnsi" w:hAnsiTheme="minorHAnsi"/>
              </w:rPr>
              <w:t>absolute value (</w:t>
            </w:r>
            <w:r w:rsidRPr="005972A6">
              <w:rPr>
                <w:rFonts w:asciiTheme="minorHAnsi" w:hAnsiTheme="minorHAnsi"/>
              </w:rPr>
              <w:t>EUR</w:t>
            </w:r>
            <w:r w:rsidR="008269B5" w:rsidRPr="005972A6">
              <w:rPr>
                <w:rFonts w:asciiTheme="minorHAnsi" w:hAnsiTheme="minorHAnsi"/>
              </w:rPr>
              <w:t>)</w:t>
            </w:r>
            <w:r w:rsidR="00220582" w:rsidRPr="005972A6">
              <w:rPr>
                <w:rFonts w:asciiTheme="minorHAnsi" w:hAnsiTheme="minorHAnsi"/>
              </w:rPr>
              <w:t xml:space="preserve"> </w:t>
            </w:r>
            <w:r w:rsidR="00890413" w:rsidRPr="005972A6">
              <w:rPr>
                <w:rFonts w:asciiTheme="minorHAnsi" w:hAnsiTheme="minorHAnsi"/>
              </w:rPr>
              <w:t>and as a percentage of total</w:t>
            </w:r>
            <w:r w:rsidR="001F1A40">
              <w:rPr>
                <w:rFonts w:asciiTheme="minorHAnsi" w:hAnsiTheme="minorHAnsi"/>
              </w:rPr>
              <w:t xml:space="preserve"> ODA </w:t>
            </w:r>
            <w:r w:rsidR="00890413" w:rsidRPr="005972A6">
              <w:rPr>
                <w:rFonts w:asciiTheme="minorHAnsi" w:hAnsiTheme="minorHAnsi"/>
              </w:rPr>
              <w:t>commitments</w:t>
            </w:r>
            <w:r w:rsidR="008269B5" w:rsidRPr="005972A6">
              <w:rPr>
                <w:rFonts w:asciiTheme="minorHAnsi" w:hAnsiTheme="minorHAnsi"/>
              </w:rPr>
              <w:t>,</w:t>
            </w:r>
            <w:r w:rsidR="00890413" w:rsidRPr="005972A6">
              <w:rPr>
                <w:rFonts w:asciiTheme="minorHAnsi" w:hAnsiTheme="minorHAnsi"/>
              </w:rPr>
              <w:t xml:space="preserve"> </w:t>
            </w:r>
            <w:r w:rsidR="00220582" w:rsidRPr="005972A6">
              <w:rPr>
                <w:rFonts w:asciiTheme="minorHAnsi" w:hAnsiTheme="minorHAnsi"/>
              </w:rPr>
              <w:t>based on financial data extracted from CRIS.</w:t>
            </w:r>
            <w:r w:rsidRPr="005972A6">
              <w:rPr>
                <w:rFonts w:asciiTheme="minorHAnsi" w:hAnsiTheme="minorHAnsi"/>
              </w:rPr>
              <w:t xml:space="preserve"> </w:t>
            </w:r>
          </w:p>
          <w:p w:rsidR="006A06EA" w:rsidRPr="005972A6" w:rsidRDefault="006A06EA" w:rsidP="00220582">
            <w:pPr>
              <w:spacing w:after="0" w:line="240" w:lineRule="auto"/>
              <w:jc w:val="both"/>
              <w:rPr>
                <w:rFonts w:asciiTheme="minorHAnsi" w:hAnsiTheme="minorHAnsi"/>
              </w:rPr>
            </w:pPr>
          </w:p>
          <w:p w:rsidR="008269B5" w:rsidRPr="005972A6" w:rsidRDefault="00A23A06" w:rsidP="00182553">
            <w:pPr>
              <w:spacing w:after="0" w:line="240" w:lineRule="auto"/>
              <w:jc w:val="both"/>
              <w:rPr>
                <w:rFonts w:asciiTheme="minorHAnsi" w:hAnsiTheme="minorHAnsi"/>
              </w:rPr>
            </w:pPr>
            <w:bookmarkStart w:id="0" w:name="bookmark3"/>
            <w:r w:rsidRPr="005972A6">
              <w:rPr>
                <w:rFonts w:asciiTheme="minorHAnsi" w:hAnsiTheme="minorHAnsi"/>
              </w:rPr>
              <w:t xml:space="preserve">Step 1- For a given year, a set of Decisions will be selected on the basis of the following criteria: </w:t>
            </w:r>
          </w:p>
          <w:p w:rsidR="008269B5" w:rsidRPr="005972A6" w:rsidRDefault="008269B5" w:rsidP="00182553">
            <w:pPr>
              <w:spacing w:after="0" w:line="240" w:lineRule="auto"/>
              <w:jc w:val="both"/>
              <w:rPr>
                <w:rFonts w:asciiTheme="minorHAnsi" w:hAnsiTheme="minorHAnsi"/>
              </w:rPr>
            </w:pPr>
          </w:p>
          <w:p w:rsidR="001F1A40" w:rsidRDefault="001F1A40" w:rsidP="00182553">
            <w:pPr>
              <w:pStyle w:val="ListParagraph"/>
              <w:numPr>
                <w:ilvl w:val="0"/>
                <w:numId w:val="7"/>
              </w:numPr>
              <w:spacing w:after="0" w:line="240" w:lineRule="auto"/>
              <w:jc w:val="both"/>
              <w:rPr>
                <w:rFonts w:asciiTheme="minorHAnsi" w:hAnsiTheme="minorHAnsi"/>
              </w:rPr>
            </w:pPr>
            <w:proofErr w:type="spellStart"/>
            <w:r>
              <w:rPr>
                <w:rFonts w:asciiTheme="minorHAnsi" w:hAnsiTheme="minorHAnsi"/>
              </w:rPr>
              <w:t>Instrumsnts</w:t>
            </w:r>
            <w:proofErr w:type="spellEnd"/>
            <w:r>
              <w:rPr>
                <w:rFonts w:asciiTheme="minorHAnsi" w:hAnsiTheme="minorHAnsi"/>
              </w:rPr>
              <w:t>: all managed by DEVCO</w:t>
            </w:r>
            <w:r>
              <w:rPr>
                <w:rStyle w:val="FootnoteReference"/>
              </w:rPr>
              <w:footnoteReference w:id="1"/>
            </w:r>
            <w:bookmarkStart w:id="1" w:name="_GoBack"/>
            <w:bookmarkEnd w:id="1"/>
            <w:r>
              <w:rPr>
                <w:rFonts w:asciiTheme="minorHAnsi" w:hAnsiTheme="minorHAnsi"/>
              </w:rPr>
              <w:t>;</w:t>
            </w:r>
          </w:p>
          <w:p w:rsidR="008269B5" w:rsidRPr="005972A6" w:rsidRDefault="00A23A06" w:rsidP="00182553">
            <w:pPr>
              <w:pStyle w:val="ListParagraph"/>
              <w:numPr>
                <w:ilvl w:val="0"/>
                <w:numId w:val="7"/>
              </w:numPr>
              <w:spacing w:after="0" w:line="240" w:lineRule="auto"/>
              <w:jc w:val="both"/>
              <w:rPr>
                <w:rFonts w:asciiTheme="minorHAnsi" w:hAnsiTheme="minorHAnsi"/>
              </w:rPr>
            </w:pPr>
            <w:r w:rsidRPr="005972A6">
              <w:rPr>
                <w:rFonts w:asciiTheme="minorHAnsi" w:hAnsiTheme="minorHAnsi"/>
              </w:rPr>
              <w:t>Commitment date (VISA ORDO)</w:t>
            </w:r>
            <w:r w:rsidR="00FC57D3">
              <w:rPr>
                <w:rStyle w:val="FootnoteReference"/>
                <w:rFonts w:asciiTheme="minorHAnsi" w:hAnsiTheme="minorHAnsi"/>
              </w:rPr>
              <w:footnoteReference w:id="2"/>
            </w:r>
            <w:r w:rsidRPr="005972A6">
              <w:rPr>
                <w:rFonts w:asciiTheme="minorHAnsi" w:hAnsiTheme="minorHAnsi"/>
              </w:rPr>
              <w:t>: between 1</w:t>
            </w:r>
            <w:r w:rsidRPr="005972A6">
              <w:rPr>
                <w:rFonts w:asciiTheme="minorHAnsi" w:hAnsiTheme="minorHAnsi"/>
                <w:vertAlign w:val="superscript"/>
              </w:rPr>
              <w:t>st</w:t>
            </w:r>
            <w:r w:rsidRPr="005972A6">
              <w:rPr>
                <w:rFonts w:asciiTheme="minorHAnsi" w:hAnsiTheme="minorHAnsi"/>
              </w:rPr>
              <w:t xml:space="preserve"> of January and 31</w:t>
            </w:r>
            <w:r w:rsidRPr="005972A6">
              <w:rPr>
                <w:rFonts w:asciiTheme="minorHAnsi" w:hAnsiTheme="minorHAnsi"/>
                <w:vertAlign w:val="superscript"/>
              </w:rPr>
              <w:t>st</w:t>
            </w:r>
            <w:r w:rsidRPr="005972A6">
              <w:rPr>
                <w:rFonts w:asciiTheme="minorHAnsi" w:hAnsiTheme="minorHAnsi"/>
              </w:rPr>
              <w:t xml:space="preserve"> of December of the year to be reported;</w:t>
            </w:r>
          </w:p>
          <w:p w:rsidR="008269B5" w:rsidRPr="005972A6" w:rsidRDefault="008269B5" w:rsidP="00182553">
            <w:pPr>
              <w:pStyle w:val="ListParagraph"/>
              <w:numPr>
                <w:ilvl w:val="0"/>
                <w:numId w:val="7"/>
              </w:numPr>
              <w:spacing w:after="0" w:line="240" w:lineRule="auto"/>
              <w:jc w:val="both"/>
              <w:rPr>
                <w:rFonts w:asciiTheme="minorHAnsi" w:hAnsiTheme="minorHAnsi"/>
              </w:rPr>
            </w:pPr>
            <w:r w:rsidRPr="005972A6">
              <w:rPr>
                <w:rFonts w:asciiTheme="minorHAnsi" w:hAnsiTheme="minorHAnsi"/>
              </w:rPr>
              <w:t>The DAC code of the Decision will be one of the following:</w:t>
            </w:r>
          </w:p>
          <w:p w:rsidR="008269B5" w:rsidRPr="005972A6" w:rsidRDefault="008269B5" w:rsidP="00182553">
            <w:pPr>
              <w:pStyle w:val="ListParagraph"/>
              <w:spacing w:after="0" w:line="240" w:lineRule="auto"/>
              <w:jc w:val="both"/>
              <w:rPr>
                <w:rFonts w:asciiTheme="minorHAnsi" w:hAnsiTheme="minorHAnsi"/>
              </w:rPr>
            </w:pPr>
          </w:p>
          <w:tbl>
            <w:tblPr>
              <w:tblW w:w="6658" w:type="dxa"/>
              <w:jc w:val="center"/>
              <w:tblInd w:w="1417" w:type="dxa"/>
              <w:tblLayout w:type="fixed"/>
              <w:tblCellMar>
                <w:left w:w="0" w:type="dxa"/>
                <w:right w:w="0" w:type="dxa"/>
              </w:tblCellMar>
              <w:tblLook w:val="04A0" w:firstRow="1" w:lastRow="0" w:firstColumn="1" w:lastColumn="0" w:noHBand="0" w:noVBand="1"/>
            </w:tblPr>
            <w:tblGrid>
              <w:gridCol w:w="2811"/>
              <w:gridCol w:w="3847"/>
            </w:tblGrid>
            <w:tr w:rsidR="008269B5" w:rsidRPr="005972A6" w:rsidTr="004F0B5D">
              <w:trPr>
                <w:trHeight w:val="300"/>
                <w:jc w:val="center"/>
              </w:trPr>
              <w:tc>
                <w:tcPr>
                  <w:tcW w:w="6658"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269B5" w:rsidRPr="005972A6" w:rsidRDefault="008269B5" w:rsidP="00E151E5">
                  <w:pPr>
                    <w:jc w:val="center"/>
                    <w:rPr>
                      <w:rFonts w:asciiTheme="minorHAnsi" w:eastAsiaTheme="minorHAnsi" w:hAnsiTheme="minorHAnsi"/>
                      <w:b/>
                      <w:bCs/>
                      <w:color w:val="000000"/>
                      <w:lang w:eastAsia="en-GB"/>
                    </w:rPr>
                  </w:pPr>
                  <w:r w:rsidRPr="005972A6">
                    <w:rPr>
                      <w:rFonts w:asciiTheme="minorHAnsi" w:hAnsiTheme="minorHAnsi"/>
                      <w:b/>
                      <w:bCs/>
                      <w:color w:val="000000"/>
                      <w:lang w:eastAsia="en-GB"/>
                    </w:rPr>
                    <w:lastRenderedPageBreak/>
                    <w:t>Human Development Indicator (Agenda for Change Definition)</w:t>
                  </w:r>
                </w:p>
              </w:tc>
            </w:tr>
            <w:tr w:rsidR="008269B5" w:rsidRPr="005972A6" w:rsidTr="004F0B5D">
              <w:trPr>
                <w:trHeight w:val="300"/>
                <w:jc w:val="center"/>
              </w:trPr>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269B5" w:rsidRPr="005972A6" w:rsidRDefault="008269B5" w:rsidP="00E151E5">
                  <w:pPr>
                    <w:jc w:val="center"/>
                    <w:rPr>
                      <w:rFonts w:asciiTheme="minorHAnsi" w:eastAsiaTheme="minorHAnsi" w:hAnsiTheme="minorHAnsi"/>
                      <w:b/>
                      <w:bCs/>
                      <w:color w:val="000000"/>
                      <w:lang w:eastAsia="en-GB"/>
                    </w:rPr>
                  </w:pPr>
                  <w:r w:rsidRPr="005972A6">
                    <w:rPr>
                      <w:rFonts w:asciiTheme="minorHAnsi" w:hAnsiTheme="minorHAnsi"/>
                      <w:b/>
                      <w:bCs/>
                      <w:color w:val="000000"/>
                      <w:lang w:eastAsia="en-GB"/>
                    </w:rPr>
                    <w:t>Sector</w:t>
                  </w:r>
                </w:p>
              </w:tc>
              <w:tc>
                <w:tcPr>
                  <w:tcW w:w="3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69B5" w:rsidRPr="005972A6" w:rsidRDefault="008269B5" w:rsidP="00E151E5">
                  <w:pPr>
                    <w:jc w:val="center"/>
                    <w:rPr>
                      <w:rFonts w:asciiTheme="minorHAnsi" w:eastAsiaTheme="minorHAnsi" w:hAnsiTheme="minorHAnsi"/>
                      <w:b/>
                      <w:bCs/>
                      <w:color w:val="000000"/>
                      <w:lang w:eastAsia="en-GB"/>
                    </w:rPr>
                  </w:pPr>
                  <w:r w:rsidRPr="005972A6">
                    <w:rPr>
                      <w:rFonts w:asciiTheme="minorHAnsi" w:hAnsiTheme="minorHAnsi"/>
                      <w:b/>
                      <w:bCs/>
                      <w:color w:val="000000"/>
                      <w:lang w:eastAsia="en-GB"/>
                    </w:rPr>
                    <w:t>DAC Codes</w:t>
                  </w:r>
                </w:p>
              </w:tc>
            </w:tr>
            <w:tr w:rsidR="008269B5" w:rsidRPr="005972A6" w:rsidTr="004F0B5D">
              <w:trPr>
                <w:trHeight w:val="300"/>
                <w:jc w:val="center"/>
              </w:trPr>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269B5" w:rsidRPr="005972A6" w:rsidRDefault="008269B5" w:rsidP="00E151E5">
                  <w:pPr>
                    <w:rPr>
                      <w:rFonts w:asciiTheme="minorHAnsi" w:eastAsiaTheme="minorHAnsi" w:hAnsiTheme="minorHAnsi"/>
                      <w:color w:val="000000"/>
                      <w:lang w:eastAsia="en-GB"/>
                    </w:rPr>
                  </w:pPr>
                  <w:r w:rsidRPr="005972A6">
                    <w:rPr>
                      <w:rFonts w:asciiTheme="minorHAnsi" w:hAnsiTheme="minorHAnsi"/>
                      <w:color w:val="000000"/>
                      <w:lang w:eastAsia="en-GB"/>
                    </w:rPr>
                    <w:t>Health</w:t>
                  </w:r>
                </w:p>
              </w:tc>
              <w:tc>
                <w:tcPr>
                  <w:tcW w:w="3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69B5" w:rsidRPr="005972A6" w:rsidRDefault="008269B5" w:rsidP="00E151E5">
                  <w:pPr>
                    <w:jc w:val="right"/>
                    <w:rPr>
                      <w:rFonts w:asciiTheme="minorHAnsi" w:eastAsiaTheme="minorHAnsi" w:hAnsiTheme="minorHAnsi"/>
                      <w:color w:val="000000"/>
                      <w:lang w:eastAsia="en-GB"/>
                    </w:rPr>
                  </w:pPr>
                  <w:r w:rsidRPr="005972A6">
                    <w:rPr>
                      <w:rFonts w:asciiTheme="minorHAnsi" w:hAnsiTheme="minorHAnsi"/>
                      <w:color w:val="000000"/>
                      <w:lang w:eastAsia="en-GB"/>
                    </w:rPr>
                    <w:t>121, 122, 130 (excluding 13010)</w:t>
                  </w:r>
                </w:p>
              </w:tc>
            </w:tr>
            <w:tr w:rsidR="008269B5" w:rsidRPr="005972A6" w:rsidTr="004F0B5D">
              <w:trPr>
                <w:trHeight w:val="300"/>
                <w:jc w:val="center"/>
              </w:trPr>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269B5" w:rsidRPr="005972A6" w:rsidRDefault="008269B5" w:rsidP="00E151E5">
                  <w:pPr>
                    <w:rPr>
                      <w:rFonts w:asciiTheme="minorHAnsi" w:eastAsiaTheme="minorHAnsi" w:hAnsiTheme="minorHAnsi"/>
                      <w:color w:val="000000"/>
                      <w:lang w:eastAsia="en-GB"/>
                    </w:rPr>
                  </w:pPr>
                  <w:r w:rsidRPr="005972A6">
                    <w:rPr>
                      <w:rFonts w:asciiTheme="minorHAnsi" w:hAnsiTheme="minorHAnsi"/>
                      <w:color w:val="000000"/>
                      <w:lang w:eastAsia="en-GB"/>
                    </w:rPr>
                    <w:t>Education</w:t>
                  </w:r>
                </w:p>
              </w:tc>
              <w:tc>
                <w:tcPr>
                  <w:tcW w:w="3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69B5" w:rsidRPr="005972A6" w:rsidRDefault="008269B5" w:rsidP="00E151E5">
                  <w:pPr>
                    <w:jc w:val="right"/>
                    <w:rPr>
                      <w:rFonts w:asciiTheme="minorHAnsi" w:eastAsiaTheme="minorHAnsi" w:hAnsiTheme="minorHAnsi"/>
                      <w:color w:val="000000"/>
                      <w:lang w:eastAsia="en-GB"/>
                    </w:rPr>
                  </w:pPr>
                  <w:r w:rsidRPr="005972A6">
                    <w:rPr>
                      <w:rFonts w:asciiTheme="minorHAnsi" w:hAnsiTheme="minorHAnsi"/>
                      <w:color w:val="000000"/>
                      <w:lang w:eastAsia="en-GB"/>
                    </w:rPr>
                    <w:t>111, 112, 113</w:t>
                  </w:r>
                </w:p>
              </w:tc>
            </w:tr>
            <w:tr w:rsidR="008269B5" w:rsidRPr="005972A6" w:rsidTr="004F0B5D">
              <w:trPr>
                <w:trHeight w:val="300"/>
                <w:jc w:val="center"/>
              </w:trPr>
              <w:tc>
                <w:tcPr>
                  <w:tcW w:w="28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269B5" w:rsidRPr="005972A6" w:rsidRDefault="008269B5" w:rsidP="00E151E5">
                  <w:pPr>
                    <w:rPr>
                      <w:rFonts w:asciiTheme="minorHAnsi" w:eastAsiaTheme="minorHAnsi" w:hAnsiTheme="minorHAnsi"/>
                      <w:color w:val="000000"/>
                      <w:lang w:eastAsia="en-GB"/>
                    </w:rPr>
                  </w:pPr>
                  <w:r w:rsidRPr="005972A6">
                    <w:rPr>
                      <w:rFonts w:asciiTheme="minorHAnsi" w:hAnsiTheme="minorHAnsi"/>
                      <w:color w:val="000000"/>
                      <w:lang w:eastAsia="en-GB"/>
                    </w:rPr>
                    <w:t>Social Protection and Services</w:t>
                  </w:r>
                </w:p>
              </w:tc>
              <w:tc>
                <w:tcPr>
                  <w:tcW w:w="3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269B5" w:rsidRPr="005972A6" w:rsidRDefault="008269B5" w:rsidP="00E151E5">
                  <w:pPr>
                    <w:jc w:val="right"/>
                    <w:rPr>
                      <w:rFonts w:asciiTheme="minorHAnsi" w:eastAsiaTheme="minorHAnsi" w:hAnsiTheme="minorHAnsi"/>
                      <w:color w:val="000000"/>
                      <w:lang w:eastAsia="en-GB"/>
                    </w:rPr>
                  </w:pPr>
                  <w:r w:rsidRPr="005972A6">
                    <w:rPr>
                      <w:rFonts w:asciiTheme="minorHAnsi" w:hAnsiTheme="minorHAnsi"/>
                      <w:color w:val="000000"/>
                      <w:lang w:eastAsia="en-GB"/>
                    </w:rPr>
                    <w:t xml:space="preserve">16010, 16020, 16050, 16064, </w:t>
                  </w:r>
                </w:p>
              </w:tc>
            </w:tr>
          </w:tbl>
          <w:p w:rsidR="008269B5" w:rsidRPr="005972A6" w:rsidRDefault="008269B5" w:rsidP="008269B5">
            <w:pPr>
              <w:rPr>
                <w:rFonts w:asciiTheme="minorHAnsi" w:hAnsiTheme="minorHAnsi"/>
                <w:i/>
              </w:rPr>
            </w:pPr>
          </w:p>
          <w:p w:rsidR="008269B5" w:rsidRPr="005972A6" w:rsidRDefault="008269B5" w:rsidP="00182553">
            <w:pPr>
              <w:rPr>
                <w:rFonts w:asciiTheme="minorHAnsi" w:hAnsiTheme="minorHAnsi"/>
              </w:rPr>
            </w:pPr>
            <w:r w:rsidRPr="005972A6">
              <w:rPr>
                <w:rFonts w:asciiTheme="minorHAnsi" w:hAnsiTheme="minorHAnsi"/>
              </w:rPr>
              <w:t>Step 2 – In order to capture social transfers, additional Decisions will be selected amongst those Decisions currently coded under Agriculture (DAC 311)</w:t>
            </w:r>
            <w:r w:rsidR="00A61E04">
              <w:rPr>
                <w:rFonts w:asciiTheme="minorHAnsi" w:hAnsiTheme="minorHAnsi"/>
              </w:rPr>
              <w:t xml:space="preserve"> and other relevant sectors</w:t>
            </w:r>
            <w:r w:rsidRPr="005972A6">
              <w:rPr>
                <w:rFonts w:asciiTheme="minorHAnsi" w:hAnsiTheme="minorHAnsi"/>
              </w:rPr>
              <w:t>. Decisions will be screened by Unit B3</w:t>
            </w:r>
            <w:r w:rsidR="00BA157D">
              <w:rPr>
                <w:rFonts w:asciiTheme="minorHAnsi" w:hAnsiTheme="minorHAnsi"/>
              </w:rPr>
              <w:t xml:space="preserve"> </w:t>
            </w:r>
            <w:r w:rsidRPr="005972A6">
              <w:rPr>
                <w:rFonts w:asciiTheme="minorHAnsi" w:hAnsiTheme="minorHAnsi"/>
              </w:rPr>
              <w:t xml:space="preserve">according to the methodology detailed in Annex </w:t>
            </w:r>
            <w:r w:rsidR="00386FD8">
              <w:rPr>
                <w:rFonts w:asciiTheme="minorHAnsi" w:hAnsiTheme="minorHAnsi"/>
              </w:rPr>
              <w:t xml:space="preserve">1 </w:t>
            </w:r>
            <w:r w:rsidRPr="005972A6">
              <w:rPr>
                <w:rFonts w:asciiTheme="minorHAnsi" w:hAnsiTheme="minorHAnsi"/>
              </w:rPr>
              <w:t>to this note and those retained as relevant will be added to the selection.</w:t>
            </w:r>
          </w:p>
          <w:p w:rsidR="008269B5" w:rsidRPr="005972A6" w:rsidRDefault="008269B5" w:rsidP="00182553">
            <w:pPr>
              <w:rPr>
                <w:rFonts w:asciiTheme="minorHAnsi" w:hAnsiTheme="minorHAnsi"/>
              </w:rPr>
            </w:pPr>
            <w:r w:rsidRPr="005972A6">
              <w:rPr>
                <w:rFonts w:asciiTheme="minorHAnsi" w:hAnsiTheme="minorHAnsi"/>
              </w:rPr>
              <w:t>Step 3 – Commitments corresponding to the list of Decisions selected will be added in order to compute the absolute value of the EU funded international cooperation and development assistance directed towards supporting Human Development in a given year.</w:t>
            </w:r>
          </w:p>
          <w:p w:rsidR="00220582" w:rsidRPr="005972A6" w:rsidRDefault="008269B5" w:rsidP="00182553">
            <w:pPr>
              <w:rPr>
                <w:rFonts w:asciiTheme="minorHAnsi" w:hAnsiTheme="minorHAnsi"/>
              </w:rPr>
            </w:pPr>
            <w:r w:rsidRPr="005972A6">
              <w:rPr>
                <w:rFonts w:asciiTheme="minorHAnsi" w:hAnsiTheme="minorHAnsi"/>
              </w:rPr>
              <w:t xml:space="preserve">Step 4 – </w:t>
            </w:r>
            <w:r w:rsidR="0027267A" w:rsidRPr="005972A6">
              <w:rPr>
                <w:rFonts w:asciiTheme="minorHAnsi" w:hAnsiTheme="minorHAnsi"/>
              </w:rPr>
              <w:t>The above number will be then divided by the total of the commitments taken by the EU international cooperation and development assistance</w:t>
            </w:r>
            <w:r w:rsidRPr="005972A6">
              <w:rPr>
                <w:rFonts w:asciiTheme="minorHAnsi" w:hAnsiTheme="minorHAnsi"/>
              </w:rPr>
              <w:t xml:space="preserve"> </w:t>
            </w:r>
            <w:r w:rsidR="0027267A" w:rsidRPr="005972A6">
              <w:rPr>
                <w:rFonts w:asciiTheme="minorHAnsi" w:hAnsiTheme="minorHAnsi"/>
              </w:rPr>
              <w:t>in the same year in order to get the s</w:t>
            </w:r>
            <w:r w:rsidRPr="005972A6">
              <w:rPr>
                <w:rFonts w:asciiTheme="minorHAnsi" w:hAnsiTheme="minorHAnsi"/>
              </w:rPr>
              <w:t>hare of the EU funded international cooperation and development assistance directed towards supporting Human Development</w:t>
            </w:r>
            <w:r w:rsidR="0027267A" w:rsidRPr="005972A6">
              <w:rPr>
                <w:rFonts w:asciiTheme="minorHAnsi" w:hAnsiTheme="minorHAnsi"/>
              </w:rPr>
              <w:t>.</w:t>
            </w:r>
            <w:r w:rsidRPr="005972A6">
              <w:rPr>
                <w:rFonts w:asciiTheme="minorHAnsi" w:hAnsiTheme="minorHAnsi"/>
              </w:rPr>
              <w:t xml:space="preserve"> </w:t>
            </w:r>
            <w:bookmarkEnd w:id="0"/>
          </w:p>
          <w:p w:rsidR="00FA394F" w:rsidRPr="005972A6" w:rsidRDefault="0027267A" w:rsidP="00220582">
            <w:pPr>
              <w:spacing w:after="0" w:line="240" w:lineRule="auto"/>
              <w:jc w:val="both"/>
              <w:rPr>
                <w:rFonts w:asciiTheme="minorHAnsi" w:hAnsiTheme="minorHAnsi"/>
              </w:rPr>
            </w:pPr>
            <w:r w:rsidRPr="005972A6">
              <w:rPr>
                <w:rFonts w:asciiTheme="minorHAnsi" w:hAnsiTheme="minorHAnsi"/>
              </w:rPr>
              <w:t xml:space="preserve">A standard extraction will be developed jointly with R1 (data warehouse) following the above criteria as soon as possible – with the </w:t>
            </w:r>
            <w:r w:rsidR="00182553" w:rsidRPr="005972A6">
              <w:rPr>
                <w:rFonts w:asciiTheme="minorHAnsi" w:hAnsiTheme="minorHAnsi"/>
              </w:rPr>
              <w:t>exception</w:t>
            </w:r>
            <w:r w:rsidRPr="005972A6">
              <w:rPr>
                <w:rFonts w:asciiTheme="minorHAnsi" w:hAnsiTheme="minorHAnsi"/>
              </w:rPr>
              <w:t xml:space="preserve"> of the identification of Decisions relevant for social transfers. B3 </w:t>
            </w:r>
            <w:r w:rsidR="00220582" w:rsidRPr="005972A6">
              <w:rPr>
                <w:rFonts w:asciiTheme="minorHAnsi" w:hAnsiTheme="minorHAnsi"/>
              </w:rPr>
              <w:t xml:space="preserve">will be in charge of implementing the methodology </w:t>
            </w:r>
            <w:r w:rsidRPr="005972A6">
              <w:rPr>
                <w:rFonts w:asciiTheme="minorHAnsi" w:hAnsiTheme="minorHAnsi"/>
              </w:rPr>
              <w:t xml:space="preserve">detailed in the annex </w:t>
            </w:r>
            <w:r w:rsidR="00386FD8">
              <w:rPr>
                <w:rFonts w:asciiTheme="minorHAnsi" w:hAnsiTheme="minorHAnsi"/>
              </w:rPr>
              <w:t xml:space="preserve">1 </w:t>
            </w:r>
            <w:r w:rsidR="00220582" w:rsidRPr="005972A6">
              <w:rPr>
                <w:rFonts w:asciiTheme="minorHAnsi" w:hAnsiTheme="minorHAnsi"/>
              </w:rPr>
              <w:t xml:space="preserve">on a yearly basis and report figures </w:t>
            </w:r>
            <w:r w:rsidRPr="005972A6">
              <w:rPr>
                <w:rFonts w:asciiTheme="minorHAnsi" w:hAnsiTheme="minorHAnsi"/>
              </w:rPr>
              <w:t>related to social transfers to DEVCO 06 for the finalisation of this indicator.</w:t>
            </w:r>
          </w:p>
          <w:p w:rsidR="00220582" w:rsidRPr="005972A6" w:rsidRDefault="00220582" w:rsidP="00220582">
            <w:pPr>
              <w:spacing w:after="0" w:line="240" w:lineRule="auto"/>
              <w:jc w:val="both"/>
              <w:rPr>
                <w:rFonts w:asciiTheme="minorHAnsi" w:hAnsiTheme="minorHAnsi"/>
              </w:rPr>
            </w:pPr>
          </w:p>
        </w:tc>
      </w:tr>
      <w:tr w:rsidR="003A249A" w:rsidRPr="005972A6" w:rsidTr="004F0B5D">
        <w:trPr>
          <w:trHeight w:val="494"/>
        </w:trPr>
        <w:tc>
          <w:tcPr>
            <w:tcW w:w="1626" w:type="dxa"/>
            <w:shd w:val="clear" w:color="auto" w:fill="auto"/>
          </w:tcPr>
          <w:p w:rsidR="003A249A" w:rsidRPr="005972A6" w:rsidRDefault="003A249A" w:rsidP="009302BB">
            <w:pPr>
              <w:rPr>
                <w:rFonts w:asciiTheme="minorHAnsi" w:hAnsiTheme="minorHAnsi"/>
                <w:color w:val="000000"/>
              </w:rPr>
            </w:pPr>
          </w:p>
        </w:tc>
        <w:tc>
          <w:tcPr>
            <w:tcW w:w="7934" w:type="dxa"/>
            <w:shd w:val="clear" w:color="auto" w:fill="auto"/>
          </w:tcPr>
          <w:p w:rsidR="003A249A" w:rsidRPr="005972A6" w:rsidRDefault="003A249A" w:rsidP="00220582">
            <w:pPr>
              <w:spacing w:after="0" w:line="240" w:lineRule="auto"/>
              <w:jc w:val="both"/>
              <w:rPr>
                <w:rFonts w:asciiTheme="minorHAnsi" w:hAnsiTheme="minorHAnsi"/>
              </w:rPr>
            </w:pPr>
          </w:p>
        </w:tc>
      </w:tr>
      <w:tr w:rsidR="003A249A" w:rsidRPr="005972A6" w:rsidTr="004F0B5D">
        <w:trPr>
          <w:trHeight w:val="494"/>
        </w:trPr>
        <w:tc>
          <w:tcPr>
            <w:tcW w:w="1626" w:type="dxa"/>
            <w:shd w:val="pct10" w:color="auto" w:fill="auto"/>
          </w:tcPr>
          <w:p w:rsidR="003A249A" w:rsidRPr="005972A6" w:rsidRDefault="003A249A" w:rsidP="009302BB">
            <w:pPr>
              <w:rPr>
                <w:rFonts w:asciiTheme="minorHAnsi" w:hAnsiTheme="minorHAnsi"/>
                <w:color w:val="000000"/>
              </w:rPr>
            </w:pPr>
            <w:r w:rsidRPr="005972A6">
              <w:rPr>
                <w:rFonts w:asciiTheme="minorHAnsi" w:hAnsiTheme="minorHAnsi"/>
                <w:color w:val="000000"/>
              </w:rPr>
              <w:t>6. Level of disaggregation</w:t>
            </w:r>
          </w:p>
        </w:tc>
        <w:tc>
          <w:tcPr>
            <w:tcW w:w="7934" w:type="dxa"/>
            <w:shd w:val="clear" w:color="auto" w:fill="D9D9D9" w:themeFill="background1" w:themeFillShade="D9"/>
          </w:tcPr>
          <w:p w:rsidR="003A249A" w:rsidRPr="005972A6" w:rsidRDefault="00834C6B" w:rsidP="00A23A06">
            <w:pPr>
              <w:spacing w:after="0" w:line="240" w:lineRule="auto"/>
              <w:jc w:val="both"/>
              <w:rPr>
                <w:rFonts w:asciiTheme="minorHAnsi" w:hAnsiTheme="minorHAnsi"/>
              </w:rPr>
            </w:pPr>
            <w:r w:rsidRPr="005972A6">
              <w:rPr>
                <w:rFonts w:asciiTheme="minorHAnsi" w:hAnsiTheme="minorHAnsi"/>
              </w:rPr>
              <w:t>The financial value of c</w:t>
            </w:r>
            <w:r w:rsidR="003A249A" w:rsidRPr="005972A6">
              <w:rPr>
                <w:rFonts w:asciiTheme="minorHAnsi" w:hAnsiTheme="minorHAnsi"/>
              </w:rPr>
              <w:t xml:space="preserve">ommitments </w:t>
            </w:r>
            <w:r w:rsidR="00A23A06" w:rsidRPr="005972A6">
              <w:rPr>
                <w:rFonts w:asciiTheme="minorHAnsi" w:hAnsiTheme="minorHAnsi"/>
              </w:rPr>
              <w:t>can</w:t>
            </w:r>
            <w:r w:rsidR="003A249A" w:rsidRPr="005972A6">
              <w:rPr>
                <w:rFonts w:asciiTheme="minorHAnsi" w:hAnsiTheme="minorHAnsi"/>
              </w:rPr>
              <w:t xml:space="preserve"> be disaggregated by country and by DAC code.</w:t>
            </w:r>
          </w:p>
        </w:tc>
      </w:tr>
      <w:tr w:rsidR="0035073D" w:rsidRPr="005972A6" w:rsidTr="004F0B5D">
        <w:trPr>
          <w:trHeight w:val="494"/>
        </w:trPr>
        <w:tc>
          <w:tcPr>
            <w:tcW w:w="1626" w:type="dxa"/>
            <w:shd w:val="clear" w:color="auto" w:fill="auto"/>
          </w:tcPr>
          <w:p w:rsidR="0035073D" w:rsidRPr="005972A6" w:rsidRDefault="0035073D" w:rsidP="000A07C0">
            <w:pPr>
              <w:ind w:right="-255"/>
              <w:rPr>
                <w:rFonts w:asciiTheme="minorHAnsi" w:hAnsiTheme="minorHAnsi"/>
                <w:color w:val="000000"/>
              </w:rPr>
            </w:pPr>
          </w:p>
        </w:tc>
        <w:tc>
          <w:tcPr>
            <w:tcW w:w="7934" w:type="dxa"/>
            <w:shd w:val="clear" w:color="auto" w:fill="auto"/>
          </w:tcPr>
          <w:p w:rsidR="0035073D" w:rsidRPr="005972A6" w:rsidRDefault="0035073D" w:rsidP="007A7A76">
            <w:pPr>
              <w:jc w:val="both"/>
              <w:rPr>
                <w:rFonts w:asciiTheme="minorHAnsi" w:hAnsiTheme="minorHAnsi"/>
                <w:i/>
              </w:rPr>
            </w:pPr>
          </w:p>
        </w:tc>
      </w:tr>
      <w:tr w:rsidR="0035073D" w:rsidRPr="005972A6" w:rsidTr="004F0B5D">
        <w:tc>
          <w:tcPr>
            <w:tcW w:w="1626"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35073D" w:rsidRPr="005972A6" w:rsidRDefault="003A249A">
            <w:pPr>
              <w:rPr>
                <w:rFonts w:asciiTheme="minorHAnsi" w:hAnsiTheme="minorHAnsi"/>
                <w:color w:val="000000"/>
              </w:rPr>
            </w:pPr>
            <w:r w:rsidRPr="005972A6">
              <w:rPr>
                <w:rFonts w:asciiTheme="minorHAnsi" w:hAnsiTheme="minorHAnsi"/>
                <w:color w:val="000000"/>
              </w:rPr>
              <w:t>7</w:t>
            </w:r>
            <w:r w:rsidR="0035073D" w:rsidRPr="005972A6">
              <w:rPr>
                <w:rFonts w:asciiTheme="minorHAnsi" w:hAnsiTheme="minorHAnsi"/>
                <w:color w:val="000000"/>
              </w:rPr>
              <w:t xml:space="preserve">. Is it used by another organization or in the framework of international initiatives, </w:t>
            </w:r>
            <w:r w:rsidR="0035073D" w:rsidRPr="005972A6">
              <w:rPr>
                <w:rFonts w:asciiTheme="minorHAnsi" w:hAnsiTheme="minorHAnsi"/>
                <w:color w:val="000000"/>
              </w:rPr>
              <w:lastRenderedPageBreak/>
              <w:t xml:space="preserve">conventions, </w:t>
            </w:r>
            <w:proofErr w:type="spellStart"/>
            <w:r w:rsidR="0035073D" w:rsidRPr="005972A6">
              <w:rPr>
                <w:rFonts w:asciiTheme="minorHAnsi" w:hAnsiTheme="minorHAnsi"/>
                <w:color w:val="000000"/>
              </w:rPr>
              <w:t>etc</w:t>
            </w:r>
            <w:proofErr w:type="spellEnd"/>
            <w:r w:rsidR="0035073D" w:rsidRPr="005972A6">
              <w:rPr>
                <w:rFonts w:asciiTheme="minorHAnsi" w:hAnsiTheme="minorHAnsi"/>
                <w:color w:val="000000"/>
              </w:rPr>
              <w:t>? If so, which?</w:t>
            </w:r>
          </w:p>
        </w:tc>
        <w:tc>
          <w:tcPr>
            <w:tcW w:w="7934" w:type="dxa"/>
            <w:tcBorders>
              <w:top w:val="single" w:sz="4" w:space="0" w:color="auto"/>
              <w:left w:val="single" w:sz="4" w:space="0" w:color="auto"/>
              <w:bottom w:val="single" w:sz="4" w:space="0" w:color="auto"/>
              <w:right w:val="single" w:sz="4" w:space="0" w:color="auto"/>
            </w:tcBorders>
            <w:shd w:val="pct10" w:color="auto" w:fill="auto"/>
          </w:tcPr>
          <w:p w:rsidR="0035073D" w:rsidRPr="005972A6" w:rsidRDefault="0035073D" w:rsidP="00A23A06">
            <w:pPr>
              <w:rPr>
                <w:rFonts w:asciiTheme="minorHAnsi" w:hAnsiTheme="minorHAnsi"/>
              </w:rPr>
            </w:pPr>
          </w:p>
        </w:tc>
      </w:tr>
      <w:tr w:rsidR="0035073D" w:rsidRPr="005972A6" w:rsidTr="004F0B5D">
        <w:tc>
          <w:tcPr>
            <w:tcW w:w="1626" w:type="dxa"/>
            <w:tcBorders>
              <w:bottom w:val="single" w:sz="4" w:space="0" w:color="auto"/>
            </w:tcBorders>
            <w:shd w:val="clear" w:color="auto" w:fill="auto"/>
            <w:vAlign w:val="bottom"/>
          </w:tcPr>
          <w:p w:rsidR="0035073D" w:rsidRPr="005972A6" w:rsidRDefault="0035073D">
            <w:pPr>
              <w:rPr>
                <w:rFonts w:asciiTheme="minorHAnsi" w:hAnsiTheme="minorHAnsi"/>
                <w:color w:val="000000"/>
              </w:rPr>
            </w:pPr>
          </w:p>
        </w:tc>
        <w:tc>
          <w:tcPr>
            <w:tcW w:w="7934" w:type="dxa"/>
            <w:tcBorders>
              <w:bottom w:val="single" w:sz="4" w:space="0" w:color="auto"/>
            </w:tcBorders>
            <w:shd w:val="clear" w:color="auto" w:fill="auto"/>
          </w:tcPr>
          <w:p w:rsidR="0035073D" w:rsidRPr="005972A6" w:rsidRDefault="0035073D" w:rsidP="000C3EAE">
            <w:pPr>
              <w:jc w:val="both"/>
              <w:rPr>
                <w:rFonts w:asciiTheme="minorHAnsi" w:hAnsiTheme="minorHAnsi"/>
              </w:rPr>
            </w:pPr>
          </w:p>
        </w:tc>
      </w:tr>
      <w:tr w:rsidR="0035073D" w:rsidRPr="005972A6" w:rsidTr="004F0B5D">
        <w:tc>
          <w:tcPr>
            <w:tcW w:w="1626" w:type="dxa"/>
            <w:shd w:val="pct10" w:color="auto" w:fill="auto"/>
          </w:tcPr>
          <w:p w:rsidR="0035073D" w:rsidRPr="005972A6" w:rsidRDefault="003A249A" w:rsidP="00631D80">
            <w:pPr>
              <w:rPr>
                <w:rFonts w:asciiTheme="minorHAnsi" w:hAnsiTheme="minorHAnsi"/>
                <w:color w:val="000000"/>
              </w:rPr>
            </w:pPr>
            <w:r w:rsidRPr="005972A6">
              <w:rPr>
                <w:rFonts w:asciiTheme="minorHAnsi" w:hAnsiTheme="minorHAnsi"/>
                <w:color w:val="000000"/>
              </w:rPr>
              <w:t>8</w:t>
            </w:r>
            <w:r w:rsidR="0035073D" w:rsidRPr="005972A6">
              <w:rPr>
                <w:rFonts w:asciiTheme="minorHAnsi" w:hAnsiTheme="minorHAnsi"/>
                <w:color w:val="000000"/>
              </w:rPr>
              <w:t>.</w:t>
            </w:r>
            <w:r w:rsidRPr="005972A6">
              <w:rPr>
                <w:rFonts w:asciiTheme="minorHAnsi" w:hAnsiTheme="minorHAnsi"/>
                <w:color w:val="000000"/>
              </w:rPr>
              <w:t xml:space="preserve"> </w:t>
            </w:r>
            <w:r w:rsidR="0035073D" w:rsidRPr="005972A6">
              <w:rPr>
                <w:rFonts w:asciiTheme="minorHAnsi" w:hAnsiTheme="minorHAnsi"/>
                <w:color w:val="000000"/>
              </w:rPr>
              <w:t>Other issues</w:t>
            </w:r>
          </w:p>
        </w:tc>
        <w:tc>
          <w:tcPr>
            <w:tcW w:w="7934" w:type="dxa"/>
            <w:shd w:val="pct10" w:color="auto" w:fill="auto"/>
          </w:tcPr>
          <w:p w:rsidR="0035073D" w:rsidRPr="005972A6" w:rsidRDefault="0035073D" w:rsidP="000C3EAE">
            <w:pPr>
              <w:jc w:val="both"/>
              <w:rPr>
                <w:rFonts w:asciiTheme="minorHAnsi" w:hAnsiTheme="minorHAnsi" w:cs="Arial"/>
                <w:lang w:eastAsia="en-GB"/>
              </w:rPr>
            </w:pPr>
          </w:p>
        </w:tc>
      </w:tr>
    </w:tbl>
    <w:p w:rsidR="00182553" w:rsidRDefault="00182553">
      <w:pPr>
        <w:rPr>
          <w:sz w:val="24"/>
          <w:szCs w:val="24"/>
        </w:rPr>
      </w:pPr>
    </w:p>
    <w:p w:rsidR="00182553" w:rsidRDefault="00182553">
      <w:pPr>
        <w:spacing w:after="0" w:line="240" w:lineRule="auto"/>
        <w:rPr>
          <w:sz w:val="24"/>
          <w:szCs w:val="24"/>
        </w:rPr>
      </w:pPr>
      <w:r>
        <w:rPr>
          <w:sz w:val="24"/>
          <w:szCs w:val="24"/>
        </w:rPr>
        <w:br w:type="page"/>
      </w:r>
    </w:p>
    <w:p w:rsidR="00322F21" w:rsidRPr="00F615A1" w:rsidRDefault="00182553" w:rsidP="00F615A1">
      <w:pPr>
        <w:autoSpaceDE w:val="0"/>
        <w:autoSpaceDN w:val="0"/>
        <w:adjustRightInd w:val="0"/>
        <w:spacing w:after="0" w:line="240" w:lineRule="auto"/>
        <w:jc w:val="both"/>
        <w:rPr>
          <w:rFonts w:asciiTheme="minorHAnsi" w:hAnsiTheme="minorHAnsi"/>
          <w:b/>
        </w:rPr>
      </w:pPr>
      <w:r w:rsidRPr="00F615A1">
        <w:rPr>
          <w:rFonts w:asciiTheme="minorHAnsi" w:hAnsiTheme="minorHAnsi"/>
          <w:b/>
        </w:rPr>
        <w:lastRenderedPageBreak/>
        <w:t xml:space="preserve">Annex 1 – Methodology for the calculation of EU international cooperation and development assistance </w:t>
      </w:r>
      <w:r w:rsidR="00075E7B" w:rsidRPr="00F615A1">
        <w:rPr>
          <w:rFonts w:asciiTheme="minorHAnsi" w:hAnsiTheme="minorHAnsi"/>
          <w:b/>
        </w:rPr>
        <w:t>towards supporting Human Development in the sector of Social Protection and Services</w:t>
      </w:r>
      <w:r w:rsidR="00075E7B" w:rsidRPr="00F615A1">
        <w:rPr>
          <w:rFonts w:asciiTheme="minorHAnsi" w:hAnsiTheme="minorHAnsi"/>
        </w:rPr>
        <w:t xml:space="preserve"> </w:t>
      </w:r>
      <w:r w:rsidRPr="00F615A1">
        <w:rPr>
          <w:rFonts w:asciiTheme="minorHAnsi" w:hAnsiTheme="minorHAnsi"/>
          <w:b/>
        </w:rPr>
        <w:t>through social transfers</w:t>
      </w:r>
    </w:p>
    <w:p w:rsidR="00C2050A" w:rsidRDefault="00C2050A">
      <w:pPr>
        <w:rPr>
          <w:rFonts w:asciiTheme="minorHAnsi" w:hAnsiTheme="minorHAnsi"/>
        </w:rPr>
      </w:pPr>
    </w:p>
    <w:p w:rsidR="00BF3292" w:rsidRPr="00F615A1" w:rsidRDefault="00BF3292">
      <w:pPr>
        <w:rPr>
          <w:rFonts w:asciiTheme="minorHAnsi" w:hAnsiTheme="minorHAnsi"/>
        </w:rPr>
      </w:pPr>
      <w:r w:rsidRPr="00F615A1">
        <w:rPr>
          <w:rFonts w:asciiTheme="minorHAnsi" w:hAnsiTheme="minorHAnsi"/>
        </w:rPr>
        <w:t>As defined in the Reference Document "Social transfers in the fight against hunger"</w:t>
      </w:r>
      <w:r w:rsidRPr="00F615A1">
        <w:rPr>
          <w:rStyle w:val="FootnoteReference"/>
          <w:rFonts w:asciiTheme="minorHAnsi" w:hAnsiTheme="minorHAnsi"/>
        </w:rPr>
        <w:footnoteReference w:id="3"/>
      </w:r>
      <w:r w:rsidRPr="00F615A1">
        <w:rPr>
          <w:rFonts w:asciiTheme="minorHAnsi" w:hAnsiTheme="minorHAnsi"/>
        </w:rPr>
        <w:t xml:space="preserve"> social transfers embrace a wide range of instruments. There are different ways to classify the types of socials transfers, the most common types are cash-based and in-kind social transfers as described at the Table 1 of section 2.2:</w:t>
      </w:r>
    </w:p>
    <w:p w:rsidR="00BF3292" w:rsidRPr="00F615A1" w:rsidRDefault="00BF3292" w:rsidP="00BF3292">
      <w:pPr>
        <w:autoSpaceDE w:val="0"/>
        <w:autoSpaceDN w:val="0"/>
        <w:adjustRightInd w:val="0"/>
        <w:spacing w:after="0" w:line="240" w:lineRule="auto"/>
        <w:rPr>
          <w:rFonts w:asciiTheme="minorHAnsi" w:hAnsiTheme="minorHAnsi" w:cs="PFSquareSansPro-Medium"/>
          <w:b/>
          <w:i/>
          <w:lang w:eastAsia="fr-FR"/>
        </w:rPr>
      </w:pPr>
      <w:r w:rsidRPr="00F615A1">
        <w:rPr>
          <w:rFonts w:asciiTheme="minorHAnsi" w:hAnsiTheme="minorHAnsi" w:cs="PFSquareSansPro-Medium"/>
          <w:b/>
          <w:i/>
          <w:lang w:eastAsia="fr-FR"/>
        </w:rPr>
        <w:t>Table 1: Common types of social transfers</w:t>
      </w:r>
    </w:p>
    <w:p w:rsidR="00BF3292" w:rsidRPr="00F615A1" w:rsidRDefault="00BF3292" w:rsidP="00BF3292">
      <w:pPr>
        <w:autoSpaceDE w:val="0"/>
        <w:autoSpaceDN w:val="0"/>
        <w:adjustRightInd w:val="0"/>
        <w:spacing w:after="0" w:line="240" w:lineRule="auto"/>
        <w:rPr>
          <w:rFonts w:asciiTheme="minorHAnsi" w:hAnsiTheme="minorHAnsi" w:cs="PFSquareSansPro-Medium"/>
          <w:color w:val="FFFFFF"/>
          <w:lang w:eastAsia="fr-FR"/>
        </w:rPr>
      </w:pPr>
      <w:r w:rsidRPr="00F615A1">
        <w:rPr>
          <w:rFonts w:asciiTheme="minorHAnsi" w:hAnsiTheme="minorHAnsi" w:cs="PFSquareSansPro-Medium"/>
          <w:color w:val="FFFFFF"/>
          <w:lang w:eastAsia="fr-FR"/>
        </w:rPr>
        <w:t>Cash-based social transfers In-kind social transfers</w:t>
      </w:r>
    </w:p>
    <w:p w:rsidR="00BF3292" w:rsidRPr="00F615A1" w:rsidRDefault="00BF3292" w:rsidP="00BF3292">
      <w:pPr>
        <w:autoSpaceDE w:val="0"/>
        <w:autoSpaceDN w:val="0"/>
        <w:adjustRightInd w:val="0"/>
        <w:spacing w:after="0" w:line="240" w:lineRule="auto"/>
        <w:rPr>
          <w:rFonts w:asciiTheme="minorHAnsi" w:hAnsiTheme="minorHAnsi" w:cs="PFSquareSansPro-Medium"/>
          <w:color w:val="000000"/>
          <w:u w:val="single"/>
          <w:lang w:eastAsia="fr-FR"/>
        </w:rPr>
      </w:pPr>
      <w:r w:rsidRPr="00F615A1">
        <w:rPr>
          <w:rFonts w:asciiTheme="minorHAnsi" w:hAnsiTheme="minorHAnsi" w:cs="PFSquareSansPro-Medium"/>
          <w:b/>
          <w:color w:val="000000"/>
          <w:u w:val="single"/>
          <w:lang w:eastAsia="fr-FR"/>
        </w:rPr>
        <w:t>Cash transfers</w:t>
      </w:r>
      <w:r w:rsidRPr="00F615A1">
        <w:rPr>
          <w:rFonts w:asciiTheme="minorHAnsi" w:hAnsiTheme="minorHAnsi" w:cs="PFSquareSansPro-Medium"/>
          <w:color w:val="000000"/>
          <w:lang w:eastAsia="fr-FR"/>
        </w:rPr>
        <w:t xml:space="preserve"> </w:t>
      </w:r>
      <w:r w:rsidRPr="00F615A1">
        <w:rPr>
          <w:rFonts w:asciiTheme="minorHAnsi" w:hAnsiTheme="minorHAnsi" w:cs="PFSquareSansPro-Medium"/>
          <w:color w:val="000000"/>
          <w:lang w:eastAsia="fr-FR"/>
        </w:rPr>
        <w:tab/>
      </w:r>
      <w:r w:rsidRPr="00F615A1">
        <w:rPr>
          <w:rFonts w:asciiTheme="minorHAnsi" w:hAnsiTheme="minorHAnsi" w:cs="PFSquareSansPro-Medium"/>
          <w:color w:val="000000"/>
          <w:lang w:eastAsia="fr-FR"/>
        </w:rPr>
        <w:tab/>
      </w:r>
      <w:r w:rsidRPr="00F615A1">
        <w:rPr>
          <w:rFonts w:asciiTheme="minorHAnsi" w:hAnsiTheme="minorHAnsi" w:cs="PFSquareSansPro-Medium"/>
          <w:color w:val="000000"/>
          <w:lang w:eastAsia="fr-FR"/>
        </w:rPr>
        <w:tab/>
      </w:r>
      <w:r w:rsidRPr="00F615A1">
        <w:rPr>
          <w:rFonts w:asciiTheme="minorHAnsi" w:hAnsiTheme="minorHAnsi" w:cs="PFSquareSansPro-Medium"/>
          <w:color w:val="000000"/>
          <w:lang w:eastAsia="fr-FR"/>
        </w:rPr>
        <w:tab/>
      </w:r>
      <w:r w:rsidRPr="00F615A1">
        <w:rPr>
          <w:rFonts w:asciiTheme="minorHAnsi" w:hAnsiTheme="minorHAnsi" w:cs="PFSquareSansPro-Medium"/>
          <w:color w:val="000000"/>
          <w:lang w:eastAsia="fr-FR"/>
        </w:rPr>
        <w:tab/>
      </w:r>
      <w:r w:rsidR="00572230">
        <w:rPr>
          <w:rFonts w:asciiTheme="minorHAnsi" w:hAnsiTheme="minorHAnsi" w:cs="PFSquareSansPro-Medium"/>
          <w:color w:val="000000"/>
          <w:lang w:eastAsia="fr-FR"/>
        </w:rPr>
        <w:tab/>
      </w:r>
      <w:r w:rsidRPr="00F615A1">
        <w:rPr>
          <w:rFonts w:asciiTheme="minorHAnsi" w:hAnsiTheme="minorHAnsi" w:cs="PFSquareSansPro-Medium"/>
          <w:b/>
          <w:color w:val="000000"/>
          <w:u w:val="single"/>
          <w:lang w:eastAsia="fr-FR"/>
        </w:rPr>
        <w:t>Food transfers</w:t>
      </w:r>
    </w:p>
    <w:p w:rsidR="00BF3292" w:rsidRPr="00F615A1" w:rsidRDefault="00BF3292" w:rsidP="00BF3292">
      <w:pPr>
        <w:autoSpaceDE w:val="0"/>
        <w:autoSpaceDN w:val="0"/>
        <w:adjustRightInd w:val="0"/>
        <w:spacing w:after="0" w:line="240" w:lineRule="auto"/>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 xml:space="preserve">Unconditional cash transfer </w:t>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t>School feeding</w:t>
      </w:r>
    </w:p>
    <w:p w:rsidR="00BF3292" w:rsidRPr="00F615A1" w:rsidRDefault="00BF3292" w:rsidP="00BF3292">
      <w:pPr>
        <w:autoSpaceDE w:val="0"/>
        <w:autoSpaceDN w:val="0"/>
        <w:adjustRightInd w:val="0"/>
        <w:spacing w:after="0" w:line="240" w:lineRule="auto"/>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 xml:space="preserve">Conditional cash transfer </w:t>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t>Take-home rations</w:t>
      </w:r>
    </w:p>
    <w:p w:rsidR="00BF3292" w:rsidRPr="00F615A1" w:rsidRDefault="00BF3292" w:rsidP="00BF3292">
      <w:pPr>
        <w:autoSpaceDE w:val="0"/>
        <w:autoSpaceDN w:val="0"/>
        <w:adjustRightInd w:val="0"/>
        <w:spacing w:after="0" w:line="240" w:lineRule="auto"/>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 xml:space="preserve">Cash-for-work/asset </w:t>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t>Targeted food transfers</w:t>
      </w:r>
    </w:p>
    <w:p w:rsidR="00BF3292" w:rsidRPr="00F615A1" w:rsidRDefault="00BF3292" w:rsidP="00BF3292">
      <w:pPr>
        <w:autoSpaceDE w:val="0"/>
        <w:autoSpaceDN w:val="0"/>
        <w:adjustRightInd w:val="0"/>
        <w:spacing w:after="0" w:line="240" w:lineRule="auto"/>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 xml:space="preserve">Labour-intensive public works </w:t>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t>Food-for-work/asset</w:t>
      </w:r>
    </w:p>
    <w:p w:rsidR="00BF3292" w:rsidRPr="00F615A1" w:rsidRDefault="00BF3292" w:rsidP="00BF3292">
      <w:pPr>
        <w:autoSpaceDE w:val="0"/>
        <w:autoSpaceDN w:val="0"/>
        <w:adjustRightInd w:val="0"/>
        <w:spacing w:after="0" w:line="240" w:lineRule="auto"/>
        <w:ind w:left="4320" w:firstLine="720"/>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Food-for-training</w:t>
      </w:r>
    </w:p>
    <w:p w:rsidR="00BF3292" w:rsidRPr="00F615A1" w:rsidRDefault="00BF3292" w:rsidP="00BF3292">
      <w:pPr>
        <w:autoSpaceDE w:val="0"/>
        <w:autoSpaceDN w:val="0"/>
        <w:adjustRightInd w:val="0"/>
        <w:spacing w:after="0" w:line="240" w:lineRule="auto"/>
        <w:ind w:left="5040"/>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Preventive supplementary feeding</w:t>
      </w:r>
      <w:r w:rsidR="00FC28D6" w:rsidRPr="00F615A1">
        <w:rPr>
          <w:rFonts w:asciiTheme="minorHAnsi" w:hAnsiTheme="minorHAnsi" w:cs="PFSquareSansPro-Regular"/>
          <w:color w:val="000000"/>
          <w:lang w:eastAsia="fr-FR"/>
        </w:rPr>
        <w:br/>
      </w:r>
    </w:p>
    <w:p w:rsidR="00BF3292" w:rsidRPr="00F615A1" w:rsidRDefault="00BF3292" w:rsidP="00BF3292">
      <w:pPr>
        <w:autoSpaceDE w:val="0"/>
        <w:autoSpaceDN w:val="0"/>
        <w:adjustRightInd w:val="0"/>
        <w:spacing w:after="0" w:line="240" w:lineRule="auto"/>
        <w:rPr>
          <w:rFonts w:asciiTheme="minorHAnsi" w:hAnsiTheme="minorHAnsi" w:cs="PFSquareSansPro-Medium"/>
          <w:color w:val="000000"/>
          <w:lang w:eastAsia="fr-FR"/>
        </w:rPr>
      </w:pPr>
      <w:r w:rsidRPr="00F615A1">
        <w:rPr>
          <w:rFonts w:asciiTheme="minorHAnsi" w:hAnsiTheme="minorHAnsi" w:cs="PFSquareSansPro-Medium"/>
          <w:b/>
          <w:color w:val="000000"/>
          <w:u w:val="single"/>
          <w:lang w:eastAsia="fr-FR"/>
        </w:rPr>
        <w:t>Near-cash transfers</w:t>
      </w:r>
      <w:r w:rsidRPr="00F615A1">
        <w:rPr>
          <w:rFonts w:asciiTheme="minorHAnsi" w:hAnsiTheme="minorHAnsi" w:cs="PFSquareSansPro-Medium"/>
          <w:color w:val="000000"/>
          <w:lang w:eastAsia="fr-FR"/>
        </w:rPr>
        <w:t xml:space="preserve"> </w:t>
      </w:r>
      <w:r w:rsidR="00FC28D6" w:rsidRPr="00F615A1">
        <w:rPr>
          <w:rFonts w:asciiTheme="minorHAnsi" w:hAnsiTheme="minorHAnsi" w:cs="PFSquareSansPro-Medium"/>
          <w:color w:val="000000"/>
          <w:lang w:eastAsia="fr-FR"/>
        </w:rPr>
        <w:tab/>
      </w:r>
      <w:r w:rsidR="00FC28D6" w:rsidRPr="00F615A1">
        <w:rPr>
          <w:rFonts w:asciiTheme="minorHAnsi" w:hAnsiTheme="minorHAnsi" w:cs="PFSquareSansPro-Medium"/>
          <w:color w:val="000000"/>
          <w:lang w:eastAsia="fr-FR"/>
        </w:rPr>
        <w:tab/>
      </w:r>
      <w:r w:rsidR="00FC28D6" w:rsidRPr="00F615A1">
        <w:rPr>
          <w:rFonts w:asciiTheme="minorHAnsi" w:hAnsiTheme="minorHAnsi" w:cs="PFSquareSansPro-Medium"/>
          <w:color w:val="000000"/>
          <w:lang w:eastAsia="fr-FR"/>
        </w:rPr>
        <w:tab/>
      </w:r>
      <w:r w:rsidR="00FC28D6" w:rsidRPr="00F615A1">
        <w:rPr>
          <w:rFonts w:asciiTheme="minorHAnsi" w:hAnsiTheme="minorHAnsi" w:cs="PFSquareSansPro-Medium"/>
          <w:color w:val="000000"/>
          <w:lang w:eastAsia="fr-FR"/>
        </w:rPr>
        <w:tab/>
      </w:r>
      <w:r w:rsidR="00FC28D6" w:rsidRPr="00F615A1">
        <w:rPr>
          <w:rFonts w:asciiTheme="minorHAnsi" w:hAnsiTheme="minorHAnsi" w:cs="PFSquareSansPro-Medium"/>
          <w:color w:val="000000"/>
          <w:lang w:eastAsia="fr-FR"/>
        </w:rPr>
        <w:tab/>
      </w:r>
      <w:r w:rsidRPr="00F615A1">
        <w:rPr>
          <w:rFonts w:asciiTheme="minorHAnsi" w:hAnsiTheme="minorHAnsi" w:cs="PFSquareSansPro-Medium"/>
          <w:b/>
          <w:color w:val="000000"/>
          <w:u w:val="single"/>
          <w:lang w:eastAsia="fr-FR"/>
        </w:rPr>
        <w:t>Commodity vouchers</w:t>
      </w:r>
    </w:p>
    <w:p w:rsidR="00BF3292" w:rsidRPr="00F615A1" w:rsidRDefault="00BF3292" w:rsidP="00BF3292">
      <w:pPr>
        <w:autoSpaceDE w:val="0"/>
        <w:autoSpaceDN w:val="0"/>
        <w:adjustRightInd w:val="0"/>
        <w:spacing w:after="0" w:line="240" w:lineRule="auto"/>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 xml:space="preserve">Value-based vouchers </w:t>
      </w:r>
      <w:r w:rsidR="00FC28D6" w:rsidRPr="00F615A1">
        <w:rPr>
          <w:rFonts w:asciiTheme="minorHAnsi" w:hAnsiTheme="minorHAnsi" w:cs="PFSquareSansPro-Regular"/>
          <w:color w:val="000000"/>
          <w:lang w:eastAsia="fr-FR"/>
        </w:rPr>
        <w:tab/>
      </w:r>
      <w:r w:rsidR="00FC28D6" w:rsidRPr="00F615A1">
        <w:rPr>
          <w:rFonts w:asciiTheme="minorHAnsi" w:hAnsiTheme="minorHAnsi" w:cs="PFSquareSansPro-Regular"/>
          <w:color w:val="000000"/>
          <w:lang w:eastAsia="fr-FR"/>
        </w:rPr>
        <w:tab/>
      </w:r>
      <w:r w:rsidR="00FC28D6" w:rsidRPr="00F615A1">
        <w:rPr>
          <w:rFonts w:asciiTheme="minorHAnsi" w:hAnsiTheme="minorHAnsi" w:cs="PFSquareSansPro-Regular"/>
          <w:color w:val="000000"/>
          <w:lang w:eastAsia="fr-FR"/>
        </w:rPr>
        <w:tab/>
      </w:r>
      <w:r w:rsidR="00FC28D6" w:rsidRPr="00F615A1">
        <w:rPr>
          <w:rFonts w:asciiTheme="minorHAnsi" w:hAnsiTheme="minorHAnsi" w:cs="PFSquareSansPro-Regular"/>
          <w:color w:val="000000"/>
          <w:lang w:eastAsia="fr-FR"/>
        </w:rPr>
        <w:tab/>
      </w:r>
      <w:r w:rsidR="00FC28D6"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Food vouchers</w:t>
      </w:r>
    </w:p>
    <w:p w:rsidR="00BF3292" w:rsidRPr="00F615A1" w:rsidRDefault="00BF3292" w:rsidP="00FC28D6">
      <w:pPr>
        <w:autoSpaceDE w:val="0"/>
        <w:autoSpaceDN w:val="0"/>
        <w:adjustRightInd w:val="0"/>
        <w:spacing w:after="0" w:line="240" w:lineRule="auto"/>
        <w:ind w:left="4320" w:firstLine="720"/>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Other commodity vouchers</w:t>
      </w:r>
    </w:p>
    <w:p w:rsidR="00FC28D6" w:rsidRPr="00F615A1" w:rsidRDefault="00FC28D6" w:rsidP="00FC28D6">
      <w:pPr>
        <w:autoSpaceDE w:val="0"/>
        <w:autoSpaceDN w:val="0"/>
        <w:adjustRightInd w:val="0"/>
        <w:spacing w:after="0" w:line="240" w:lineRule="auto"/>
        <w:ind w:left="4320" w:firstLine="720"/>
        <w:rPr>
          <w:rFonts w:asciiTheme="minorHAnsi" w:hAnsiTheme="minorHAnsi" w:cs="PFSquareSansPro-Regular"/>
          <w:color w:val="000000"/>
          <w:lang w:eastAsia="fr-FR"/>
        </w:rPr>
      </w:pPr>
    </w:p>
    <w:p w:rsidR="00BF3292" w:rsidRPr="00F615A1" w:rsidRDefault="00BF3292" w:rsidP="00FC28D6">
      <w:pPr>
        <w:autoSpaceDE w:val="0"/>
        <w:autoSpaceDN w:val="0"/>
        <w:adjustRightInd w:val="0"/>
        <w:spacing w:after="0" w:line="240" w:lineRule="auto"/>
        <w:rPr>
          <w:rFonts w:asciiTheme="minorHAnsi" w:hAnsiTheme="minorHAnsi" w:cs="PFSquareSansPro-Medium"/>
          <w:b/>
          <w:color w:val="000000"/>
          <w:u w:val="single"/>
          <w:lang w:eastAsia="fr-FR"/>
        </w:rPr>
      </w:pPr>
      <w:r w:rsidRPr="00F615A1">
        <w:rPr>
          <w:rFonts w:asciiTheme="minorHAnsi" w:hAnsiTheme="minorHAnsi" w:cs="PFSquareSansPro-Medium"/>
          <w:b/>
          <w:color w:val="000000"/>
          <w:u w:val="single"/>
          <w:lang w:eastAsia="fr-FR"/>
        </w:rPr>
        <w:t xml:space="preserve">Grants </w:t>
      </w:r>
      <w:r w:rsidR="00FC28D6" w:rsidRPr="00F615A1">
        <w:rPr>
          <w:rFonts w:asciiTheme="minorHAnsi" w:hAnsiTheme="minorHAnsi" w:cs="PFSquareSansPro-Medium"/>
          <w:color w:val="000000"/>
          <w:lang w:eastAsia="fr-FR"/>
        </w:rPr>
        <w:tab/>
      </w:r>
      <w:r w:rsidR="00FC28D6" w:rsidRPr="00F615A1">
        <w:rPr>
          <w:rFonts w:asciiTheme="minorHAnsi" w:hAnsiTheme="minorHAnsi" w:cs="PFSquareSansPro-Medium"/>
          <w:color w:val="000000"/>
          <w:lang w:eastAsia="fr-FR"/>
        </w:rPr>
        <w:tab/>
      </w:r>
      <w:r w:rsidR="00FC28D6" w:rsidRPr="00F615A1">
        <w:rPr>
          <w:rFonts w:asciiTheme="minorHAnsi" w:hAnsiTheme="minorHAnsi" w:cs="PFSquareSansPro-Medium"/>
          <w:color w:val="000000"/>
          <w:lang w:eastAsia="fr-FR"/>
        </w:rPr>
        <w:tab/>
      </w:r>
      <w:r w:rsidR="00FC28D6" w:rsidRPr="00F615A1">
        <w:rPr>
          <w:rFonts w:asciiTheme="minorHAnsi" w:hAnsiTheme="minorHAnsi" w:cs="PFSquareSansPro-Medium"/>
          <w:color w:val="000000"/>
          <w:lang w:eastAsia="fr-FR"/>
        </w:rPr>
        <w:tab/>
      </w:r>
      <w:r w:rsidR="00FC28D6" w:rsidRPr="00F615A1">
        <w:rPr>
          <w:rFonts w:asciiTheme="minorHAnsi" w:hAnsiTheme="minorHAnsi" w:cs="PFSquareSansPro-Medium"/>
          <w:color w:val="000000"/>
          <w:lang w:eastAsia="fr-FR"/>
        </w:rPr>
        <w:tab/>
      </w:r>
      <w:r w:rsidR="00FC28D6" w:rsidRPr="00F615A1">
        <w:rPr>
          <w:rFonts w:asciiTheme="minorHAnsi" w:hAnsiTheme="minorHAnsi" w:cs="PFSquareSansPro-Medium"/>
          <w:color w:val="000000"/>
          <w:lang w:eastAsia="fr-FR"/>
        </w:rPr>
        <w:tab/>
      </w:r>
      <w:r w:rsidR="00FC28D6" w:rsidRPr="00F615A1">
        <w:rPr>
          <w:rFonts w:asciiTheme="minorHAnsi" w:hAnsiTheme="minorHAnsi" w:cs="PFSquareSansPro-Medium"/>
          <w:color w:val="000000"/>
          <w:lang w:eastAsia="fr-FR"/>
        </w:rPr>
        <w:tab/>
      </w:r>
      <w:r w:rsidRPr="00F615A1">
        <w:rPr>
          <w:rFonts w:asciiTheme="minorHAnsi" w:hAnsiTheme="minorHAnsi" w:cs="PFSquareSansPro-Medium"/>
          <w:b/>
          <w:color w:val="000000"/>
          <w:u w:val="single"/>
          <w:lang w:eastAsia="fr-FR"/>
        </w:rPr>
        <w:t>Asset and input transfers</w:t>
      </w:r>
    </w:p>
    <w:p w:rsidR="00BF3292" w:rsidRPr="00F615A1" w:rsidRDefault="00BF3292" w:rsidP="00FC28D6">
      <w:pPr>
        <w:autoSpaceDE w:val="0"/>
        <w:autoSpaceDN w:val="0"/>
        <w:adjustRightInd w:val="0"/>
        <w:spacing w:after="0" w:line="240" w:lineRule="auto"/>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 xml:space="preserve">Lump sum grant </w:t>
      </w:r>
      <w:r w:rsidR="00FC28D6" w:rsidRPr="00F615A1">
        <w:rPr>
          <w:rFonts w:asciiTheme="minorHAnsi" w:hAnsiTheme="minorHAnsi" w:cs="PFSquareSansPro-Regular"/>
          <w:color w:val="000000"/>
          <w:lang w:eastAsia="fr-FR"/>
        </w:rPr>
        <w:tab/>
      </w:r>
      <w:r w:rsidR="00FC28D6" w:rsidRPr="00F615A1">
        <w:rPr>
          <w:rFonts w:asciiTheme="minorHAnsi" w:hAnsiTheme="minorHAnsi" w:cs="PFSquareSansPro-Regular"/>
          <w:color w:val="000000"/>
          <w:lang w:eastAsia="fr-FR"/>
        </w:rPr>
        <w:tab/>
      </w:r>
      <w:r w:rsidR="00FC28D6" w:rsidRPr="00F615A1">
        <w:rPr>
          <w:rFonts w:asciiTheme="minorHAnsi" w:hAnsiTheme="minorHAnsi" w:cs="PFSquareSansPro-Regular"/>
          <w:color w:val="000000"/>
          <w:lang w:eastAsia="fr-FR"/>
        </w:rPr>
        <w:tab/>
      </w:r>
      <w:r w:rsidR="00FC28D6" w:rsidRPr="00F615A1">
        <w:rPr>
          <w:rFonts w:asciiTheme="minorHAnsi" w:hAnsiTheme="minorHAnsi" w:cs="PFSquareSansPro-Regular"/>
          <w:color w:val="000000"/>
          <w:lang w:eastAsia="fr-FR"/>
        </w:rPr>
        <w:tab/>
      </w:r>
      <w:r w:rsidR="00FC28D6"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Livestock transfer</w:t>
      </w:r>
    </w:p>
    <w:p w:rsidR="00BF3292" w:rsidRPr="00F615A1" w:rsidRDefault="00BF3292" w:rsidP="00FC28D6">
      <w:pPr>
        <w:autoSpaceDE w:val="0"/>
        <w:autoSpaceDN w:val="0"/>
        <w:adjustRightInd w:val="0"/>
        <w:spacing w:after="0" w:line="240" w:lineRule="auto"/>
        <w:ind w:left="4320" w:firstLine="720"/>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Agricultural input transfer</w:t>
      </w:r>
    </w:p>
    <w:p w:rsidR="00BF3292" w:rsidRPr="00F615A1" w:rsidRDefault="00BF3292" w:rsidP="00FC28D6">
      <w:pPr>
        <w:ind w:left="4320" w:firstLine="720"/>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Asset transfer</w:t>
      </w:r>
    </w:p>
    <w:p w:rsidR="00FC28D6" w:rsidRPr="00F615A1" w:rsidRDefault="00C2050A" w:rsidP="00FC28D6">
      <w:pPr>
        <w:rPr>
          <w:rFonts w:asciiTheme="minorHAnsi" w:hAnsiTheme="minorHAnsi" w:cs="PFSquareSansPro-Regular"/>
          <w:color w:val="000000"/>
          <w:lang w:eastAsia="fr-FR"/>
        </w:rPr>
      </w:pPr>
      <w:r>
        <w:rPr>
          <w:rFonts w:asciiTheme="minorHAnsi" w:hAnsiTheme="minorHAnsi" w:cs="PFSquareSansPro-Regular"/>
          <w:color w:val="000000"/>
          <w:lang w:eastAsia="fr-FR"/>
        </w:rPr>
        <w:t>In addition to those identified in step 1 above (see 5. Data calculation), further Decisions are</w:t>
      </w:r>
      <w:r w:rsidR="00CC3C7A" w:rsidRPr="00F615A1">
        <w:rPr>
          <w:rFonts w:asciiTheme="minorHAnsi" w:hAnsiTheme="minorHAnsi" w:cs="PFSquareSansPro-Regular"/>
          <w:color w:val="000000"/>
          <w:lang w:eastAsia="fr-FR"/>
        </w:rPr>
        <w:t xml:space="preserve"> selected to identify </w:t>
      </w:r>
      <w:r>
        <w:rPr>
          <w:rFonts w:asciiTheme="minorHAnsi" w:hAnsiTheme="minorHAnsi" w:cs="PFSquareSansPro-Regular"/>
          <w:color w:val="000000"/>
          <w:lang w:eastAsia="fr-FR"/>
        </w:rPr>
        <w:t>EU actions</w:t>
      </w:r>
      <w:r w:rsidR="00CC3C7A" w:rsidRPr="00F615A1">
        <w:rPr>
          <w:rFonts w:asciiTheme="minorHAnsi" w:hAnsiTheme="minorHAnsi" w:cs="PFSquareSansPro-Regular"/>
          <w:color w:val="000000"/>
          <w:lang w:eastAsia="fr-FR"/>
        </w:rPr>
        <w:t xml:space="preserve"> where social transfers could be used</w:t>
      </w:r>
      <w:r>
        <w:rPr>
          <w:rFonts w:asciiTheme="minorHAnsi" w:hAnsiTheme="minorHAnsi" w:cs="PFSquareSansPro-Regular"/>
          <w:color w:val="000000"/>
          <w:lang w:eastAsia="fr-FR"/>
        </w:rPr>
        <w:t>. These Decisions are selected on the basis of the following DAC codes:</w:t>
      </w:r>
    </w:p>
    <w:p w:rsidR="00CC3C7A" w:rsidRPr="00F615A1" w:rsidRDefault="00CC3C7A"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 xml:space="preserve">Water and sanitation </w:t>
      </w:r>
      <w:r w:rsidRPr="00F615A1">
        <w:rPr>
          <w:rFonts w:asciiTheme="minorHAnsi" w:hAnsiTheme="minorHAnsi" w:cs="PFSquareSansPro-Regular"/>
          <w:color w:val="000000"/>
          <w:lang w:eastAsia="fr-FR"/>
        </w:rPr>
        <w:tab/>
        <w:t>14030, 14031</w:t>
      </w:r>
      <w:r w:rsidRPr="00F615A1">
        <w:rPr>
          <w:rFonts w:asciiTheme="minorHAnsi" w:hAnsiTheme="minorHAnsi" w:cs="PFSquareSansPro-Regular"/>
          <w:color w:val="000000"/>
          <w:lang w:eastAsia="fr-FR"/>
        </w:rPr>
        <w:tab/>
      </w:r>
    </w:p>
    <w:p w:rsidR="00CC3C7A" w:rsidRPr="00F615A1" w:rsidRDefault="00CC3C7A" w:rsidP="00CC3C7A">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Agriculture</w:t>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t xml:space="preserve">31110, 31120, 31130, 31150, 31161, 31162, 31163, 31166, 31181, </w:t>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t>31191, 31192, 31193, 31194, 31195</w:t>
      </w:r>
    </w:p>
    <w:p w:rsidR="00CC3C7A" w:rsidRPr="00F615A1" w:rsidRDefault="00CC3C7A"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Forestry</w:t>
      </w:r>
      <w:r w:rsidR="00A61E04" w:rsidRPr="00F615A1">
        <w:rPr>
          <w:rFonts w:asciiTheme="minorHAnsi" w:hAnsiTheme="minorHAnsi" w:cs="PFSquareSansPro-Regular"/>
          <w:color w:val="000000"/>
          <w:lang w:eastAsia="fr-FR"/>
        </w:rPr>
        <w:tab/>
      </w:r>
      <w:r w:rsidR="00A61E04" w:rsidRPr="00F615A1">
        <w:rPr>
          <w:rFonts w:asciiTheme="minorHAnsi" w:hAnsiTheme="minorHAnsi" w:cs="PFSquareSansPro-Regular"/>
          <w:color w:val="000000"/>
          <w:lang w:eastAsia="fr-FR"/>
        </w:rPr>
        <w:tab/>
        <w:t>31220</w:t>
      </w:r>
    </w:p>
    <w:p w:rsidR="00A61E04" w:rsidRPr="00F615A1" w:rsidRDefault="00A61E04"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Fishery</w:t>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t>31320</w:t>
      </w:r>
    </w:p>
    <w:p w:rsidR="00A61E04" w:rsidRPr="00F615A1" w:rsidRDefault="00A61E04" w:rsidP="00FC28D6">
      <w:pPr>
        <w:rPr>
          <w:rFonts w:asciiTheme="minorHAnsi" w:hAnsiTheme="minorHAnsi" w:cs="PFSquareSansPro-Regular"/>
          <w:color w:val="000000"/>
          <w:lang w:eastAsia="fr-FR"/>
        </w:rPr>
      </w:pPr>
      <w:proofErr w:type="spellStart"/>
      <w:r w:rsidRPr="00F615A1">
        <w:rPr>
          <w:rFonts w:asciiTheme="minorHAnsi" w:hAnsiTheme="minorHAnsi" w:cs="PFSquareSansPro-Regular"/>
          <w:color w:val="000000"/>
          <w:lang w:eastAsia="fr-FR"/>
        </w:rPr>
        <w:t>Multisector</w:t>
      </w:r>
      <w:proofErr w:type="spellEnd"/>
      <w:r w:rsidRPr="00F615A1">
        <w:rPr>
          <w:rFonts w:asciiTheme="minorHAnsi" w:hAnsiTheme="minorHAnsi" w:cs="PFSquareSansPro-Regular"/>
          <w:color w:val="000000"/>
          <w:lang w:eastAsia="fr-FR"/>
        </w:rPr>
        <w:t xml:space="preserve"> aid</w:t>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t>43010</w:t>
      </w:r>
    </w:p>
    <w:p w:rsidR="00A61E04" w:rsidRPr="00F615A1" w:rsidRDefault="00A61E04"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Urban development</w:t>
      </w:r>
      <w:r w:rsidRPr="00F615A1">
        <w:rPr>
          <w:rFonts w:asciiTheme="minorHAnsi" w:hAnsiTheme="minorHAnsi" w:cs="PFSquareSansPro-Regular"/>
          <w:color w:val="000000"/>
          <w:lang w:eastAsia="fr-FR"/>
        </w:rPr>
        <w:tab/>
        <w:t>43030</w:t>
      </w:r>
    </w:p>
    <w:p w:rsidR="00A61E04" w:rsidRPr="00F615A1" w:rsidRDefault="00A61E04"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Non-agriculture</w:t>
      </w:r>
      <w:r w:rsidRPr="00F615A1">
        <w:rPr>
          <w:rFonts w:asciiTheme="minorHAnsi" w:hAnsiTheme="minorHAnsi" w:cs="PFSquareSansPro-Regular"/>
          <w:color w:val="000000"/>
          <w:lang w:eastAsia="fr-FR"/>
        </w:rPr>
        <w:tab/>
      </w:r>
      <w:r w:rsidRPr="00F615A1">
        <w:rPr>
          <w:rFonts w:asciiTheme="minorHAnsi" w:hAnsiTheme="minorHAnsi" w:cs="PFSquareSansPro-Regular"/>
          <w:color w:val="000000"/>
          <w:lang w:eastAsia="fr-FR"/>
        </w:rPr>
        <w:tab/>
        <w:t>43050</w:t>
      </w:r>
    </w:p>
    <w:p w:rsidR="00A61E04" w:rsidRPr="00F615A1" w:rsidRDefault="00A61E04" w:rsidP="00FC28D6">
      <w:pPr>
        <w:rPr>
          <w:rFonts w:asciiTheme="minorHAnsi" w:hAnsiTheme="minorHAnsi" w:cs="PFSquareSansPro-Regular"/>
          <w:color w:val="000000"/>
          <w:lang w:eastAsia="fr-FR"/>
        </w:rPr>
      </w:pPr>
      <w:proofErr w:type="spellStart"/>
      <w:r w:rsidRPr="00F615A1">
        <w:rPr>
          <w:rFonts w:asciiTheme="minorHAnsi" w:hAnsiTheme="minorHAnsi" w:cs="PFSquareSansPro-Regular"/>
          <w:color w:val="000000"/>
          <w:lang w:eastAsia="fr-FR"/>
        </w:rPr>
        <w:lastRenderedPageBreak/>
        <w:t>Multisector</w:t>
      </w:r>
      <w:proofErr w:type="spellEnd"/>
      <w:r w:rsidRPr="00F615A1">
        <w:rPr>
          <w:rFonts w:asciiTheme="minorHAnsi" w:hAnsiTheme="minorHAnsi" w:cs="PFSquareSansPro-Regular"/>
          <w:color w:val="000000"/>
          <w:lang w:eastAsia="fr-FR"/>
        </w:rPr>
        <w:t xml:space="preserve"> education</w:t>
      </w:r>
      <w:r w:rsidRPr="00F615A1">
        <w:rPr>
          <w:rFonts w:asciiTheme="minorHAnsi" w:hAnsiTheme="minorHAnsi" w:cs="PFSquareSansPro-Regular"/>
          <w:color w:val="000000"/>
          <w:lang w:eastAsia="fr-FR"/>
        </w:rPr>
        <w:tab/>
        <w:t>43081</w:t>
      </w:r>
    </w:p>
    <w:p w:rsidR="00A61E04" w:rsidRPr="00F615A1" w:rsidRDefault="009574E9"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F</w:t>
      </w:r>
      <w:r w:rsidR="00A61E04" w:rsidRPr="00F615A1">
        <w:rPr>
          <w:rFonts w:asciiTheme="minorHAnsi" w:hAnsiTheme="minorHAnsi" w:cs="PFSquareSansPro-Regular"/>
          <w:color w:val="000000"/>
          <w:lang w:eastAsia="fr-FR"/>
        </w:rPr>
        <w:t>ood aid</w:t>
      </w:r>
      <w:r w:rsidRPr="00F615A1">
        <w:rPr>
          <w:rFonts w:asciiTheme="minorHAnsi" w:hAnsiTheme="minorHAnsi" w:cs="PFSquareSansPro-Regular"/>
          <w:color w:val="000000"/>
          <w:lang w:eastAsia="fr-FR"/>
        </w:rPr>
        <w:t>/security</w:t>
      </w:r>
      <w:r w:rsidRPr="00F615A1">
        <w:rPr>
          <w:rFonts w:asciiTheme="minorHAnsi" w:hAnsiTheme="minorHAnsi" w:cs="PFSquareSansPro-Regular"/>
          <w:color w:val="000000"/>
          <w:lang w:eastAsia="fr-FR"/>
        </w:rPr>
        <w:tab/>
      </w:r>
      <w:r w:rsidR="00A61E04" w:rsidRPr="00F615A1">
        <w:rPr>
          <w:rFonts w:asciiTheme="minorHAnsi" w:hAnsiTheme="minorHAnsi" w:cs="PFSquareSansPro-Regular"/>
          <w:color w:val="000000"/>
          <w:lang w:eastAsia="fr-FR"/>
        </w:rPr>
        <w:t>52010</w:t>
      </w:r>
    </w:p>
    <w:p w:rsidR="009574E9" w:rsidRPr="00F615A1" w:rsidRDefault="009574E9"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Actions relating to debt</w:t>
      </w:r>
      <w:r w:rsidRPr="00F615A1">
        <w:rPr>
          <w:rFonts w:asciiTheme="minorHAnsi" w:hAnsiTheme="minorHAnsi" w:cs="PFSquareSansPro-Regular"/>
          <w:color w:val="000000"/>
          <w:lang w:eastAsia="fr-FR"/>
        </w:rPr>
        <w:tab/>
        <w:t>60061,</w:t>
      </w:r>
      <w:r w:rsidR="00C2050A" w:rsidRPr="00F615A1">
        <w:rPr>
          <w:rFonts w:asciiTheme="minorHAnsi" w:hAnsiTheme="minorHAnsi" w:cs="PFSquareSansPro-Regular"/>
          <w:color w:val="000000"/>
          <w:lang w:eastAsia="fr-FR"/>
        </w:rPr>
        <w:t xml:space="preserve"> </w:t>
      </w:r>
      <w:r w:rsidRPr="00F615A1">
        <w:rPr>
          <w:rFonts w:asciiTheme="minorHAnsi" w:hAnsiTheme="minorHAnsi" w:cs="PFSquareSansPro-Regular"/>
          <w:color w:val="000000"/>
          <w:lang w:eastAsia="fr-FR"/>
        </w:rPr>
        <w:t>60062</w:t>
      </w:r>
    </w:p>
    <w:p w:rsidR="00FC57D3" w:rsidRPr="00F615A1" w:rsidRDefault="009574E9"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 xml:space="preserve">For each </w:t>
      </w:r>
      <w:r w:rsidR="00C2050A">
        <w:rPr>
          <w:rFonts w:asciiTheme="minorHAnsi" w:hAnsiTheme="minorHAnsi" w:cs="PFSquareSansPro-Regular"/>
          <w:color w:val="000000"/>
          <w:lang w:eastAsia="fr-FR"/>
        </w:rPr>
        <w:t>of these D</w:t>
      </w:r>
      <w:r w:rsidRPr="00F615A1">
        <w:rPr>
          <w:rFonts w:asciiTheme="minorHAnsi" w:hAnsiTheme="minorHAnsi" w:cs="PFSquareSansPro-Regular"/>
          <w:color w:val="000000"/>
          <w:lang w:eastAsia="fr-FR"/>
        </w:rPr>
        <w:t>ecision</w:t>
      </w:r>
      <w:r w:rsidR="00C2050A">
        <w:rPr>
          <w:rFonts w:asciiTheme="minorHAnsi" w:hAnsiTheme="minorHAnsi" w:cs="PFSquareSansPro-Regular"/>
          <w:color w:val="000000"/>
          <w:lang w:eastAsia="fr-FR"/>
        </w:rPr>
        <w:t>s</w:t>
      </w:r>
      <w:r w:rsidR="00C2050A" w:rsidRPr="00F615A1">
        <w:rPr>
          <w:rFonts w:asciiTheme="minorHAnsi" w:hAnsiTheme="minorHAnsi" w:cs="PFSquareSansPro-Regular"/>
          <w:color w:val="000000"/>
          <w:lang w:eastAsia="fr-FR"/>
        </w:rPr>
        <w:t>,</w:t>
      </w:r>
      <w:r w:rsidR="00386FD8" w:rsidRPr="00F615A1">
        <w:rPr>
          <w:rFonts w:asciiTheme="minorHAnsi" w:hAnsiTheme="minorHAnsi" w:cs="PFSquareSansPro-Regular"/>
          <w:color w:val="000000"/>
          <w:lang w:eastAsia="fr-FR"/>
        </w:rPr>
        <w:t xml:space="preserve"> </w:t>
      </w:r>
      <w:r w:rsidR="00572230">
        <w:rPr>
          <w:rFonts w:asciiTheme="minorHAnsi" w:hAnsiTheme="minorHAnsi" w:cs="PFSquareSansPro-Regular"/>
          <w:color w:val="000000"/>
          <w:lang w:eastAsia="fr-FR"/>
        </w:rPr>
        <w:t>t</w:t>
      </w:r>
      <w:r w:rsidR="004E316D">
        <w:rPr>
          <w:rFonts w:asciiTheme="minorHAnsi" w:hAnsiTheme="minorHAnsi" w:cs="PFSquareSansPro-Regular"/>
          <w:color w:val="000000"/>
          <w:lang w:eastAsia="fr-FR"/>
        </w:rPr>
        <w:t xml:space="preserve">he </w:t>
      </w:r>
      <w:r w:rsidR="00FC57D3" w:rsidRPr="00F615A1">
        <w:rPr>
          <w:rFonts w:asciiTheme="minorHAnsi" w:hAnsiTheme="minorHAnsi" w:cs="PFSquareSansPro-Regular"/>
          <w:color w:val="000000"/>
          <w:lang w:eastAsia="fr-FR"/>
        </w:rPr>
        <w:t xml:space="preserve">activities </w:t>
      </w:r>
      <w:r w:rsidR="00572230">
        <w:rPr>
          <w:rFonts w:asciiTheme="minorHAnsi" w:hAnsiTheme="minorHAnsi" w:cs="PFSquareSansPro-Regular"/>
          <w:color w:val="000000"/>
          <w:lang w:eastAsia="fr-FR"/>
        </w:rPr>
        <w:t>described in the Action Fiche</w:t>
      </w:r>
      <w:r w:rsidR="004E316D">
        <w:rPr>
          <w:rFonts w:asciiTheme="minorHAnsi" w:hAnsiTheme="minorHAnsi" w:cs="PFSquareSansPro-Regular"/>
          <w:color w:val="000000"/>
          <w:lang w:eastAsia="fr-FR"/>
        </w:rPr>
        <w:t>s</w:t>
      </w:r>
      <w:r w:rsidR="00572230">
        <w:rPr>
          <w:rFonts w:asciiTheme="minorHAnsi" w:hAnsiTheme="minorHAnsi" w:cs="PFSquareSansPro-Regular"/>
          <w:color w:val="000000"/>
          <w:lang w:eastAsia="fr-FR"/>
        </w:rPr>
        <w:t xml:space="preserve">, Financing Agreements and Contracts documents </w:t>
      </w:r>
      <w:r w:rsidR="00FC57D3" w:rsidRPr="00F615A1">
        <w:rPr>
          <w:rFonts w:asciiTheme="minorHAnsi" w:hAnsiTheme="minorHAnsi" w:cs="PFSquareSansPro-Regular"/>
          <w:color w:val="000000"/>
          <w:lang w:eastAsia="fr-FR"/>
        </w:rPr>
        <w:t>are</w:t>
      </w:r>
      <w:r w:rsidR="00572230">
        <w:rPr>
          <w:rFonts w:asciiTheme="minorHAnsi" w:hAnsiTheme="minorHAnsi" w:cs="PFSquareSansPro-Regular"/>
          <w:color w:val="000000"/>
          <w:lang w:eastAsia="fr-FR"/>
        </w:rPr>
        <w:t xml:space="preserve"> </w:t>
      </w:r>
      <w:r w:rsidR="00FC57D3" w:rsidRPr="00F615A1">
        <w:rPr>
          <w:rFonts w:asciiTheme="minorHAnsi" w:hAnsiTheme="minorHAnsi" w:cs="PFSquareSansPro-Regular"/>
          <w:color w:val="000000"/>
          <w:lang w:eastAsia="fr-FR"/>
        </w:rPr>
        <w:t xml:space="preserve">analysed </w:t>
      </w:r>
      <w:r w:rsidR="00C2050A">
        <w:rPr>
          <w:rFonts w:asciiTheme="minorHAnsi" w:hAnsiTheme="minorHAnsi" w:cs="PFSquareSansPro-Regular"/>
          <w:color w:val="000000"/>
          <w:lang w:eastAsia="fr-FR"/>
        </w:rPr>
        <w:t xml:space="preserve">in order </w:t>
      </w:r>
      <w:r w:rsidR="00FC57D3" w:rsidRPr="00F615A1">
        <w:rPr>
          <w:rFonts w:asciiTheme="minorHAnsi" w:hAnsiTheme="minorHAnsi" w:cs="PFSquareSansPro-Regular"/>
          <w:color w:val="000000"/>
          <w:lang w:eastAsia="fr-FR"/>
        </w:rPr>
        <w:t xml:space="preserve">to identify </w:t>
      </w:r>
      <w:r w:rsidR="00C2050A">
        <w:rPr>
          <w:rFonts w:asciiTheme="minorHAnsi" w:hAnsiTheme="minorHAnsi" w:cs="PFSquareSansPro-Regular"/>
          <w:color w:val="000000"/>
          <w:lang w:eastAsia="fr-FR"/>
        </w:rPr>
        <w:t xml:space="preserve">where </w:t>
      </w:r>
      <w:r w:rsidR="00FC57D3" w:rsidRPr="00F615A1">
        <w:rPr>
          <w:rFonts w:asciiTheme="minorHAnsi" w:hAnsiTheme="minorHAnsi" w:cs="PFSquareSansPro-Regular"/>
          <w:color w:val="000000"/>
          <w:lang w:eastAsia="fr-FR"/>
        </w:rPr>
        <w:t xml:space="preserve">social transfers </w:t>
      </w:r>
      <w:r w:rsidR="00C2050A">
        <w:rPr>
          <w:rFonts w:asciiTheme="minorHAnsi" w:hAnsiTheme="minorHAnsi" w:cs="PFSquareSansPro-Regular"/>
          <w:color w:val="000000"/>
          <w:lang w:eastAsia="fr-FR"/>
        </w:rPr>
        <w:t xml:space="preserve">are used as defined in table 1, </w:t>
      </w:r>
      <w:r w:rsidR="00FC57D3" w:rsidRPr="00F615A1">
        <w:rPr>
          <w:rFonts w:asciiTheme="minorHAnsi" w:hAnsiTheme="minorHAnsi" w:cs="PFSquareSansPro-Regular"/>
          <w:color w:val="000000"/>
          <w:lang w:eastAsia="fr-FR"/>
        </w:rPr>
        <w:t>a</w:t>
      </w:r>
      <w:r w:rsidR="00C2050A">
        <w:rPr>
          <w:rFonts w:asciiTheme="minorHAnsi" w:hAnsiTheme="minorHAnsi" w:cs="PFSquareSansPro-Regular"/>
          <w:color w:val="000000"/>
          <w:lang w:eastAsia="fr-FR"/>
        </w:rPr>
        <w:t>s well as</w:t>
      </w:r>
      <w:r w:rsidR="00FC57D3" w:rsidRPr="00F615A1">
        <w:rPr>
          <w:rFonts w:asciiTheme="minorHAnsi" w:hAnsiTheme="minorHAnsi" w:cs="PFSquareSansPro-Regular"/>
          <w:color w:val="000000"/>
          <w:lang w:eastAsia="fr-FR"/>
        </w:rPr>
        <w:t xml:space="preserve"> their value</w:t>
      </w:r>
      <w:r w:rsidR="00C2050A">
        <w:rPr>
          <w:rFonts w:asciiTheme="minorHAnsi" w:hAnsiTheme="minorHAnsi" w:cs="PFSquareSansPro-Regular"/>
          <w:color w:val="000000"/>
          <w:lang w:eastAsia="fr-FR"/>
        </w:rPr>
        <w:t xml:space="preserve"> quantified</w:t>
      </w:r>
      <w:r w:rsidR="00FC57D3" w:rsidRPr="00F615A1">
        <w:rPr>
          <w:rFonts w:asciiTheme="minorHAnsi" w:hAnsiTheme="minorHAnsi" w:cs="PFSquareSansPro-Regular"/>
          <w:color w:val="000000"/>
          <w:lang w:eastAsia="fr-FR"/>
        </w:rPr>
        <w:t xml:space="preserve">. </w:t>
      </w:r>
      <w:r w:rsidR="00572230">
        <w:rPr>
          <w:rFonts w:asciiTheme="minorHAnsi" w:hAnsiTheme="minorHAnsi" w:cs="PFSquareSansPro-Regular"/>
          <w:color w:val="000000"/>
          <w:lang w:eastAsia="fr-FR"/>
        </w:rPr>
        <w:t>Where necessary the Geo-coordinator and the EU Delegation are consulted.</w:t>
      </w:r>
    </w:p>
    <w:p w:rsidR="009574E9" w:rsidRPr="00F615A1" w:rsidRDefault="00FC57D3"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 xml:space="preserve">Decisions which clearly do </w:t>
      </w:r>
      <w:r w:rsidR="00C5619E" w:rsidRPr="00F615A1">
        <w:rPr>
          <w:rFonts w:asciiTheme="minorHAnsi" w:hAnsiTheme="minorHAnsi" w:cs="PFSquareSansPro-Regular"/>
          <w:color w:val="000000"/>
          <w:lang w:eastAsia="fr-FR"/>
        </w:rPr>
        <w:t xml:space="preserve">not </w:t>
      </w:r>
      <w:r w:rsidR="001844F3" w:rsidRPr="00F615A1">
        <w:rPr>
          <w:rFonts w:asciiTheme="minorHAnsi" w:hAnsiTheme="minorHAnsi" w:cs="PFSquareSansPro-Regular"/>
          <w:color w:val="000000"/>
          <w:lang w:eastAsia="fr-FR"/>
        </w:rPr>
        <w:t xml:space="preserve">relate to the provisions of </w:t>
      </w:r>
      <w:r w:rsidR="00C5619E" w:rsidRPr="00F615A1">
        <w:rPr>
          <w:rFonts w:asciiTheme="minorHAnsi" w:hAnsiTheme="minorHAnsi" w:cs="PFSquareSansPro-Regular"/>
          <w:color w:val="000000"/>
          <w:lang w:eastAsia="fr-FR"/>
        </w:rPr>
        <w:t>social transfer</w:t>
      </w:r>
      <w:r w:rsidR="001844F3" w:rsidRPr="00F615A1">
        <w:rPr>
          <w:rFonts w:asciiTheme="minorHAnsi" w:hAnsiTheme="minorHAnsi" w:cs="PFSquareSansPro-Regular"/>
          <w:color w:val="000000"/>
          <w:lang w:eastAsia="fr-FR"/>
        </w:rPr>
        <w:t>s</w:t>
      </w:r>
      <w:r w:rsidR="00C5619E" w:rsidRPr="00F615A1">
        <w:rPr>
          <w:rFonts w:asciiTheme="minorHAnsi" w:hAnsiTheme="minorHAnsi" w:cs="PFSquareSansPro-Regular"/>
          <w:color w:val="000000"/>
          <w:lang w:eastAsia="fr-FR"/>
        </w:rPr>
        <w:t xml:space="preserve"> are excluded from the analysis</w:t>
      </w:r>
      <w:r w:rsidR="00C2050A" w:rsidRPr="00F615A1">
        <w:rPr>
          <w:rFonts w:asciiTheme="minorHAnsi" w:hAnsiTheme="minorHAnsi" w:cs="PFSquareSansPro-Regular"/>
          <w:color w:val="000000"/>
          <w:lang w:eastAsia="fr-FR"/>
        </w:rPr>
        <w:t>. These include</w:t>
      </w:r>
      <w:r w:rsidR="00C5619E" w:rsidRPr="00F615A1">
        <w:rPr>
          <w:rFonts w:asciiTheme="minorHAnsi" w:hAnsiTheme="minorHAnsi" w:cs="PFSquareSansPro-Regular"/>
          <w:color w:val="000000"/>
          <w:lang w:eastAsia="fr-FR"/>
        </w:rPr>
        <w:t xml:space="preserve">: </w:t>
      </w:r>
      <w:r w:rsidR="0099505B" w:rsidRPr="00F615A1">
        <w:rPr>
          <w:rFonts w:asciiTheme="minorHAnsi" w:hAnsiTheme="minorHAnsi" w:cs="PFSquareSansPro-Regular"/>
          <w:color w:val="000000"/>
          <w:lang w:eastAsia="fr-FR"/>
        </w:rPr>
        <w:t xml:space="preserve">Support measures, </w:t>
      </w:r>
      <w:r w:rsidR="001844F3" w:rsidRPr="00F615A1">
        <w:rPr>
          <w:rFonts w:asciiTheme="minorHAnsi" w:hAnsiTheme="minorHAnsi" w:cs="PFSquareSansPro-Regular"/>
          <w:color w:val="000000"/>
          <w:lang w:eastAsia="fr-FR"/>
        </w:rPr>
        <w:t>Studies, Policy Support</w:t>
      </w:r>
      <w:r w:rsidR="0099505B" w:rsidRPr="00F615A1">
        <w:rPr>
          <w:rFonts w:asciiTheme="minorHAnsi" w:hAnsiTheme="minorHAnsi" w:cs="PFSquareSansPro-Regular"/>
          <w:color w:val="000000"/>
          <w:lang w:eastAsia="fr-FR"/>
        </w:rPr>
        <w:t>, Capacity Building</w:t>
      </w:r>
      <w:r w:rsidR="001844F3" w:rsidRPr="00F615A1">
        <w:rPr>
          <w:rFonts w:asciiTheme="minorHAnsi" w:hAnsiTheme="minorHAnsi" w:cs="PFSquareSansPro-Regular"/>
          <w:color w:val="000000"/>
          <w:lang w:eastAsia="fr-FR"/>
        </w:rPr>
        <w:t xml:space="preserve">, Technical Assistance, </w:t>
      </w:r>
      <w:r w:rsidR="00A71A4F" w:rsidRPr="00F615A1">
        <w:rPr>
          <w:rFonts w:asciiTheme="minorHAnsi" w:hAnsiTheme="minorHAnsi" w:cs="PFSquareSansPro-Regular"/>
          <w:color w:val="000000"/>
          <w:lang w:eastAsia="fr-FR"/>
        </w:rPr>
        <w:t xml:space="preserve">Transport, Infrastructure, </w:t>
      </w:r>
      <w:r w:rsidR="00C5619E" w:rsidRPr="00F615A1">
        <w:rPr>
          <w:rFonts w:asciiTheme="minorHAnsi" w:hAnsiTheme="minorHAnsi" w:cs="PFSquareSansPro-Regular"/>
          <w:color w:val="000000"/>
          <w:lang w:eastAsia="fr-FR"/>
        </w:rPr>
        <w:t xml:space="preserve">Audit, </w:t>
      </w:r>
      <w:r w:rsidR="001844F3" w:rsidRPr="00F615A1">
        <w:rPr>
          <w:rFonts w:asciiTheme="minorHAnsi" w:hAnsiTheme="minorHAnsi" w:cs="PFSquareSansPro-Regular"/>
          <w:color w:val="000000"/>
          <w:lang w:eastAsia="fr-FR"/>
        </w:rPr>
        <w:t xml:space="preserve">Monitoring &amp; Evaluation, </w:t>
      </w:r>
      <w:r w:rsidR="00C5619E" w:rsidRPr="00F615A1">
        <w:rPr>
          <w:rFonts w:asciiTheme="minorHAnsi" w:hAnsiTheme="minorHAnsi" w:cs="PFSquareSansPro-Regular"/>
          <w:color w:val="000000"/>
          <w:lang w:eastAsia="fr-FR"/>
        </w:rPr>
        <w:t>Communication &amp; Visibility</w:t>
      </w:r>
      <w:r w:rsidR="00A71A4F" w:rsidRPr="00F615A1">
        <w:rPr>
          <w:rFonts w:asciiTheme="minorHAnsi" w:hAnsiTheme="minorHAnsi" w:cs="PFSquareSansPro-Regular"/>
          <w:color w:val="000000"/>
          <w:lang w:eastAsia="fr-FR"/>
        </w:rPr>
        <w:t xml:space="preserve">, Workshops, </w:t>
      </w:r>
      <w:proofErr w:type="gramStart"/>
      <w:r w:rsidR="00A71A4F" w:rsidRPr="00F615A1">
        <w:rPr>
          <w:rFonts w:asciiTheme="minorHAnsi" w:hAnsiTheme="minorHAnsi" w:cs="PFSquareSansPro-Regular"/>
          <w:color w:val="000000"/>
          <w:lang w:eastAsia="fr-FR"/>
        </w:rPr>
        <w:t>Seminars</w:t>
      </w:r>
      <w:proofErr w:type="gramEnd"/>
      <w:r w:rsidR="00A71A4F" w:rsidRPr="00F615A1">
        <w:rPr>
          <w:rFonts w:asciiTheme="minorHAnsi" w:hAnsiTheme="minorHAnsi" w:cs="PFSquareSansPro-Regular"/>
          <w:color w:val="000000"/>
          <w:lang w:eastAsia="fr-FR"/>
        </w:rPr>
        <w:t>.</w:t>
      </w:r>
    </w:p>
    <w:p w:rsidR="00FC57D3" w:rsidRPr="00F615A1" w:rsidRDefault="00FC57D3"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Riders signed in 2014 are included</w:t>
      </w:r>
      <w:r w:rsidR="00C2050A">
        <w:rPr>
          <w:rFonts w:asciiTheme="minorHAnsi" w:hAnsiTheme="minorHAnsi" w:cs="PFSquareSansPro-Regular"/>
          <w:color w:val="000000"/>
          <w:lang w:eastAsia="fr-FR"/>
        </w:rPr>
        <w:t xml:space="preserve"> amongst the Decisions analysed</w:t>
      </w:r>
      <w:r w:rsidRPr="00F615A1">
        <w:rPr>
          <w:rFonts w:asciiTheme="minorHAnsi" w:hAnsiTheme="minorHAnsi" w:cs="PFSquareSansPro-Regular"/>
          <w:color w:val="000000"/>
          <w:lang w:eastAsia="fr-FR"/>
        </w:rPr>
        <w:t>.</w:t>
      </w:r>
    </w:p>
    <w:p w:rsidR="00A71A4F" w:rsidRPr="00F615A1" w:rsidRDefault="00A71A4F"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 xml:space="preserve">Decisions </w:t>
      </w:r>
      <w:r w:rsidR="00FC57D3" w:rsidRPr="00F615A1">
        <w:rPr>
          <w:rFonts w:asciiTheme="minorHAnsi" w:hAnsiTheme="minorHAnsi" w:cs="PFSquareSansPro-Regular"/>
          <w:color w:val="000000"/>
          <w:lang w:eastAsia="fr-FR"/>
        </w:rPr>
        <w:t xml:space="preserve">not linked to DEVCO/NEAR such as </w:t>
      </w:r>
      <w:r w:rsidRPr="00F615A1">
        <w:rPr>
          <w:rFonts w:asciiTheme="minorHAnsi" w:hAnsiTheme="minorHAnsi" w:cs="PFSquareSansPro-Regular"/>
          <w:color w:val="000000"/>
          <w:lang w:eastAsia="fr-FR"/>
        </w:rPr>
        <w:t xml:space="preserve">ELARG countries are excluded. </w:t>
      </w:r>
    </w:p>
    <w:p w:rsidR="00C5619E" w:rsidRPr="00F615A1" w:rsidRDefault="00C5619E" w:rsidP="00FC28D6">
      <w:pPr>
        <w:rPr>
          <w:rFonts w:asciiTheme="minorHAnsi" w:hAnsiTheme="minorHAnsi" w:cs="PFSquareSansPro-Regular"/>
          <w:color w:val="000000"/>
          <w:lang w:eastAsia="fr-FR"/>
        </w:rPr>
      </w:pPr>
      <w:r w:rsidRPr="00F615A1">
        <w:rPr>
          <w:rFonts w:asciiTheme="minorHAnsi" w:hAnsiTheme="minorHAnsi" w:cs="PFSquareSansPro-Regular"/>
          <w:color w:val="000000"/>
          <w:lang w:eastAsia="fr-FR"/>
        </w:rPr>
        <w:t>The level of disaggregation as mentioned at section 6 is respected.</w:t>
      </w:r>
    </w:p>
    <w:p w:rsidR="00C5619E" w:rsidRPr="00F615A1" w:rsidRDefault="00C5619E" w:rsidP="00FC28D6">
      <w:pPr>
        <w:rPr>
          <w:rFonts w:asciiTheme="minorHAnsi" w:hAnsiTheme="minorHAnsi" w:cs="PFSquareSansPro-Regular"/>
          <w:color w:val="000000"/>
          <w:lang w:eastAsia="fr-FR"/>
        </w:rPr>
      </w:pPr>
    </w:p>
    <w:p w:rsidR="00A61E04" w:rsidRPr="00F615A1" w:rsidRDefault="00A61E04" w:rsidP="00FC28D6">
      <w:pPr>
        <w:rPr>
          <w:rFonts w:asciiTheme="minorHAnsi" w:hAnsiTheme="minorHAnsi" w:cs="PFSquareSansPro-Regular"/>
          <w:color w:val="000000"/>
          <w:lang w:eastAsia="fr-FR"/>
        </w:rPr>
      </w:pPr>
    </w:p>
    <w:p w:rsidR="00A61E04" w:rsidRPr="00F615A1" w:rsidRDefault="00A61E04" w:rsidP="00FC28D6">
      <w:pPr>
        <w:rPr>
          <w:rFonts w:asciiTheme="minorHAnsi" w:hAnsiTheme="minorHAnsi" w:cs="PFSquareSansPro-Regular"/>
          <w:color w:val="000000"/>
          <w:lang w:eastAsia="fr-FR"/>
        </w:rPr>
      </w:pPr>
    </w:p>
    <w:p w:rsidR="00CC3C7A" w:rsidRPr="00F615A1" w:rsidRDefault="00CC3C7A" w:rsidP="00FC28D6">
      <w:pPr>
        <w:rPr>
          <w:rFonts w:asciiTheme="minorHAnsi" w:hAnsiTheme="minorHAnsi" w:cs="PFSquareSansPro-Regular"/>
          <w:color w:val="000000"/>
          <w:lang w:eastAsia="fr-FR"/>
        </w:rPr>
      </w:pPr>
    </w:p>
    <w:p w:rsidR="00FC28D6" w:rsidRDefault="00FC28D6" w:rsidP="00FC28D6">
      <w:pPr>
        <w:rPr>
          <w:rFonts w:ascii="PFSquareSansPro-Regular" w:hAnsi="PFSquareSansPro-Regular" w:cs="PFSquareSansPro-Regular"/>
          <w:color w:val="000000"/>
          <w:sz w:val="20"/>
          <w:szCs w:val="20"/>
          <w:lang w:eastAsia="fr-FR"/>
        </w:rPr>
      </w:pPr>
    </w:p>
    <w:p w:rsidR="00FC28D6" w:rsidRDefault="00FC28D6" w:rsidP="00FC28D6">
      <w:pPr>
        <w:ind w:left="4320" w:firstLine="720"/>
        <w:rPr>
          <w:sz w:val="24"/>
          <w:szCs w:val="24"/>
        </w:rPr>
      </w:pPr>
    </w:p>
    <w:p w:rsidR="00BF3292" w:rsidRPr="005972A6" w:rsidRDefault="00BF3292">
      <w:pPr>
        <w:rPr>
          <w:sz w:val="24"/>
          <w:szCs w:val="24"/>
        </w:rPr>
      </w:pPr>
    </w:p>
    <w:sectPr w:rsidR="00BF3292" w:rsidRPr="005972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F6" w:rsidRDefault="001572F6" w:rsidP="00FA394F">
      <w:pPr>
        <w:spacing w:after="0" w:line="240" w:lineRule="auto"/>
      </w:pPr>
      <w:r>
        <w:separator/>
      </w:r>
    </w:p>
  </w:endnote>
  <w:endnote w:type="continuationSeparator" w:id="0">
    <w:p w:rsidR="001572F6" w:rsidRDefault="001572F6" w:rsidP="00FA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FSquareSansPro-Medium">
    <w:panose1 w:val="00000000000000000000"/>
    <w:charset w:val="00"/>
    <w:family w:val="auto"/>
    <w:notTrueType/>
    <w:pitch w:val="default"/>
    <w:sig w:usb0="00000003" w:usb1="00000000" w:usb2="00000000" w:usb3="00000000" w:csb0="00000001" w:csb1="00000000"/>
  </w:font>
  <w:font w:name="PFSquareSans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F6" w:rsidRDefault="001572F6" w:rsidP="00FA394F">
      <w:pPr>
        <w:spacing w:after="0" w:line="240" w:lineRule="auto"/>
      </w:pPr>
      <w:r>
        <w:separator/>
      </w:r>
    </w:p>
  </w:footnote>
  <w:footnote w:type="continuationSeparator" w:id="0">
    <w:p w:rsidR="001572F6" w:rsidRDefault="001572F6" w:rsidP="00FA394F">
      <w:pPr>
        <w:spacing w:after="0" w:line="240" w:lineRule="auto"/>
      </w:pPr>
      <w:r>
        <w:continuationSeparator/>
      </w:r>
    </w:p>
  </w:footnote>
  <w:footnote w:id="1">
    <w:p w:rsidR="001F1A40" w:rsidRDefault="001F1A40" w:rsidP="001F1A40">
      <w:pPr>
        <w:pStyle w:val="FootnoteText"/>
      </w:pPr>
      <w:r>
        <w:rPr>
          <w:rStyle w:val="FootnoteReference"/>
        </w:rPr>
        <w:footnoteRef/>
      </w:r>
      <w:r>
        <w:t xml:space="preserve"> DCI, EDF, EIDHR, Nuclear Safety, </w:t>
      </w:r>
      <w:proofErr w:type="spellStart"/>
      <w:r>
        <w:t>IcSP</w:t>
      </w:r>
      <w:proofErr w:type="spellEnd"/>
      <w:r>
        <w:t>, Greenland and ENI (until 2014 – to be revised afterwards)</w:t>
      </w:r>
    </w:p>
  </w:footnote>
  <w:footnote w:id="2">
    <w:p w:rsidR="00FC57D3" w:rsidRPr="00FC57D3" w:rsidRDefault="00FC57D3">
      <w:pPr>
        <w:pStyle w:val="FootnoteText"/>
      </w:pPr>
      <w:r>
        <w:rPr>
          <w:rStyle w:val="FootnoteReference"/>
        </w:rPr>
        <w:footnoteRef/>
      </w:r>
      <w:r>
        <w:t xml:space="preserve"> Including riders to decisions </w:t>
      </w:r>
    </w:p>
  </w:footnote>
  <w:footnote w:id="3">
    <w:p w:rsidR="00BF3292" w:rsidRPr="00BF3292" w:rsidRDefault="00BF3292">
      <w:pPr>
        <w:pStyle w:val="FootnoteText"/>
      </w:pPr>
      <w:r>
        <w:rPr>
          <w:rStyle w:val="FootnoteReference"/>
        </w:rPr>
        <w:footnoteRef/>
      </w:r>
      <w:r>
        <w:t xml:space="preserve"> </w:t>
      </w:r>
      <w:r w:rsidRPr="00BF3292">
        <w:t>Tools and Methods Series</w:t>
      </w:r>
      <w:r>
        <w:t>,</w:t>
      </w:r>
      <w:r>
        <w:rPr>
          <w:sz w:val="24"/>
          <w:szCs w:val="24"/>
        </w:rPr>
        <w:t xml:space="preserve"> </w:t>
      </w:r>
      <w:r>
        <w:t>Reference Document N° 14, April 2012</w:t>
      </w:r>
      <w:r>
        <w:br/>
      </w:r>
      <w:hyperlink r:id="rId1" w:history="1">
        <w:r w:rsidRPr="00E41B7C">
          <w:rPr>
            <w:rStyle w:val="Hyperlink"/>
          </w:rPr>
          <w:t>http://capacity4dev.ec.europa.eu/t-and-m-series/document/reference-document-nr-14-social-transfers-fight-against-hunger</w:t>
        </w:r>
      </w:hyperlink>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04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EED4C84C"/>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1">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2">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3">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4">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5">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6">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7">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8">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abstractNum>
  <w:abstractNum w:abstractNumId="2">
    <w:nsid w:val="02C01FD6"/>
    <w:multiLevelType w:val="hybridMultilevel"/>
    <w:tmpl w:val="1F88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92943"/>
    <w:multiLevelType w:val="hybridMultilevel"/>
    <w:tmpl w:val="11507D60"/>
    <w:lvl w:ilvl="0" w:tplc="1D2800AC">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B910E0"/>
    <w:multiLevelType w:val="hybridMultilevel"/>
    <w:tmpl w:val="0D98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1073D0"/>
    <w:multiLevelType w:val="hybridMultilevel"/>
    <w:tmpl w:val="9888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6A0E58"/>
    <w:multiLevelType w:val="hybridMultilevel"/>
    <w:tmpl w:val="1388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2F21"/>
    <w:rsid w:val="00020F7F"/>
    <w:rsid w:val="00067170"/>
    <w:rsid w:val="00075E7B"/>
    <w:rsid w:val="00077D9F"/>
    <w:rsid w:val="000A07C0"/>
    <w:rsid w:val="000A2670"/>
    <w:rsid w:val="000B2198"/>
    <w:rsid w:val="000B21D3"/>
    <w:rsid w:val="000B2644"/>
    <w:rsid w:val="000C3EAE"/>
    <w:rsid w:val="000C4D76"/>
    <w:rsid w:val="00100E52"/>
    <w:rsid w:val="00113195"/>
    <w:rsid w:val="00131E0C"/>
    <w:rsid w:val="00151C46"/>
    <w:rsid w:val="001572F6"/>
    <w:rsid w:val="00182553"/>
    <w:rsid w:val="001844F3"/>
    <w:rsid w:val="001B20FF"/>
    <w:rsid w:val="001F1A40"/>
    <w:rsid w:val="00220582"/>
    <w:rsid w:val="002444BD"/>
    <w:rsid w:val="00254311"/>
    <w:rsid w:val="0027267A"/>
    <w:rsid w:val="002923F2"/>
    <w:rsid w:val="002A55BA"/>
    <w:rsid w:val="002C6871"/>
    <w:rsid w:val="002F01F1"/>
    <w:rsid w:val="003070DD"/>
    <w:rsid w:val="00322F21"/>
    <w:rsid w:val="00331A31"/>
    <w:rsid w:val="003467BF"/>
    <w:rsid w:val="0035073D"/>
    <w:rsid w:val="00363D59"/>
    <w:rsid w:val="00386FD8"/>
    <w:rsid w:val="003A249A"/>
    <w:rsid w:val="003D1685"/>
    <w:rsid w:val="003F5427"/>
    <w:rsid w:val="004000F6"/>
    <w:rsid w:val="0043056C"/>
    <w:rsid w:val="004310A0"/>
    <w:rsid w:val="004808A9"/>
    <w:rsid w:val="004972AE"/>
    <w:rsid w:val="004D1794"/>
    <w:rsid w:val="004E292E"/>
    <w:rsid w:val="004E316D"/>
    <w:rsid w:val="004E5948"/>
    <w:rsid w:val="004F0B5D"/>
    <w:rsid w:val="004F65BF"/>
    <w:rsid w:val="00517BC2"/>
    <w:rsid w:val="00531F78"/>
    <w:rsid w:val="00542C29"/>
    <w:rsid w:val="005431F5"/>
    <w:rsid w:val="0055586B"/>
    <w:rsid w:val="00572230"/>
    <w:rsid w:val="005758DE"/>
    <w:rsid w:val="00576C4B"/>
    <w:rsid w:val="005972A6"/>
    <w:rsid w:val="005F6AA8"/>
    <w:rsid w:val="00623F41"/>
    <w:rsid w:val="00631D80"/>
    <w:rsid w:val="00666870"/>
    <w:rsid w:val="006726B3"/>
    <w:rsid w:val="00676918"/>
    <w:rsid w:val="00687C71"/>
    <w:rsid w:val="006A06EA"/>
    <w:rsid w:val="00705956"/>
    <w:rsid w:val="007159DA"/>
    <w:rsid w:val="007170C2"/>
    <w:rsid w:val="0073345B"/>
    <w:rsid w:val="00743D51"/>
    <w:rsid w:val="00751094"/>
    <w:rsid w:val="00763677"/>
    <w:rsid w:val="007657CA"/>
    <w:rsid w:val="007A7A76"/>
    <w:rsid w:val="007D6FF1"/>
    <w:rsid w:val="00800C87"/>
    <w:rsid w:val="00810583"/>
    <w:rsid w:val="008269B5"/>
    <w:rsid w:val="00834C6B"/>
    <w:rsid w:val="008503B7"/>
    <w:rsid w:val="00850DE5"/>
    <w:rsid w:val="00862A68"/>
    <w:rsid w:val="00890413"/>
    <w:rsid w:val="008A2C13"/>
    <w:rsid w:val="008B0C9C"/>
    <w:rsid w:val="008E4A8C"/>
    <w:rsid w:val="00903FA9"/>
    <w:rsid w:val="009574E9"/>
    <w:rsid w:val="009607AF"/>
    <w:rsid w:val="009635B5"/>
    <w:rsid w:val="00984F34"/>
    <w:rsid w:val="0099505B"/>
    <w:rsid w:val="009D4334"/>
    <w:rsid w:val="009E3100"/>
    <w:rsid w:val="009F2D34"/>
    <w:rsid w:val="00A0206D"/>
    <w:rsid w:val="00A23A06"/>
    <w:rsid w:val="00A56DEF"/>
    <w:rsid w:val="00A57D06"/>
    <w:rsid w:val="00A61E04"/>
    <w:rsid w:val="00A71A4F"/>
    <w:rsid w:val="00A93420"/>
    <w:rsid w:val="00AB5197"/>
    <w:rsid w:val="00AB51F4"/>
    <w:rsid w:val="00AB735A"/>
    <w:rsid w:val="00AC490E"/>
    <w:rsid w:val="00AC7B2A"/>
    <w:rsid w:val="00AD6F29"/>
    <w:rsid w:val="00AF149A"/>
    <w:rsid w:val="00B01F89"/>
    <w:rsid w:val="00B04B8A"/>
    <w:rsid w:val="00B32F6D"/>
    <w:rsid w:val="00B5188E"/>
    <w:rsid w:val="00B65737"/>
    <w:rsid w:val="00B9573C"/>
    <w:rsid w:val="00BA157D"/>
    <w:rsid w:val="00BA4E98"/>
    <w:rsid w:val="00BC213A"/>
    <w:rsid w:val="00BD61E0"/>
    <w:rsid w:val="00BD785B"/>
    <w:rsid w:val="00BF2615"/>
    <w:rsid w:val="00BF3292"/>
    <w:rsid w:val="00C2050A"/>
    <w:rsid w:val="00C472FA"/>
    <w:rsid w:val="00C55D0F"/>
    <w:rsid w:val="00C5619E"/>
    <w:rsid w:val="00C7475E"/>
    <w:rsid w:val="00CC3C7A"/>
    <w:rsid w:val="00D132E3"/>
    <w:rsid w:val="00D4156C"/>
    <w:rsid w:val="00D97EC3"/>
    <w:rsid w:val="00DC530A"/>
    <w:rsid w:val="00DE7139"/>
    <w:rsid w:val="00E01EDC"/>
    <w:rsid w:val="00E142D6"/>
    <w:rsid w:val="00E203AF"/>
    <w:rsid w:val="00E53179"/>
    <w:rsid w:val="00E66F77"/>
    <w:rsid w:val="00E855CF"/>
    <w:rsid w:val="00EB2E34"/>
    <w:rsid w:val="00EB6F48"/>
    <w:rsid w:val="00EC5C15"/>
    <w:rsid w:val="00EF2432"/>
    <w:rsid w:val="00F066B7"/>
    <w:rsid w:val="00F37097"/>
    <w:rsid w:val="00F43AA9"/>
    <w:rsid w:val="00F47E90"/>
    <w:rsid w:val="00F615A1"/>
    <w:rsid w:val="00F67172"/>
    <w:rsid w:val="00F70229"/>
    <w:rsid w:val="00F75CB7"/>
    <w:rsid w:val="00F77F46"/>
    <w:rsid w:val="00FA394F"/>
    <w:rsid w:val="00FC13A9"/>
    <w:rsid w:val="00FC28D6"/>
    <w:rsid w:val="00FC57D3"/>
    <w:rsid w:val="00FD38B6"/>
    <w:rsid w:val="00FE3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80"/>
    <w:rPr>
      <w:rFonts w:ascii="Tahoma" w:hAnsi="Tahoma" w:cs="Tahoma"/>
      <w:sz w:val="16"/>
      <w:szCs w:val="16"/>
      <w:lang w:eastAsia="en-US"/>
    </w:rPr>
  </w:style>
  <w:style w:type="character" w:styleId="Hyperlink">
    <w:name w:val="Hyperlink"/>
    <w:uiPriority w:val="99"/>
    <w:unhideWhenUsed/>
    <w:rsid w:val="00676918"/>
    <w:rPr>
      <w:color w:val="0000FF"/>
      <w:u w:val="single"/>
    </w:rPr>
  </w:style>
  <w:style w:type="character" w:styleId="CommentReference">
    <w:name w:val="annotation reference"/>
    <w:uiPriority w:val="99"/>
    <w:semiHidden/>
    <w:unhideWhenUsed/>
    <w:rsid w:val="008E4A8C"/>
    <w:rPr>
      <w:sz w:val="16"/>
      <w:szCs w:val="16"/>
    </w:rPr>
  </w:style>
  <w:style w:type="paragraph" w:styleId="CommentText">
    <w:name w:val="annotation text"/>
    <w:basedOn w:val="Normal"/>
    <w:link w:val="CommentTextChar"/>
    <w:uiPriority w:val="99"/>
    <w:semiHidden/>
    <w:unhideWhenUsed/>
    <w:rsid w:val="008E4A8C"/>
    <w:rPr>
      <w:sz w:val="20"/>
      <w:szCs w:val="20"/>
    </w:rPr>
  </w:style>
  <w:style w:type="character" w:customStyle="1" w:styleId="CommentTextChar">
    <w:name w:val="Comment Text Char"/>
    <w:link w:val="CommentText"/>
    <w:uiPriority w:val="99"/>
    <w:semiHidden/>
    <w:rsid w:val="008E4A8C"/>
    <w:rPr>
      <w:lang w:eastAsia="en-US"/>
    </w:rPr>
  </w:style>
  <w:style w:type="paragraph" w:styleId="CommentSubject">
    <w:name w:val="annotation subject"/>
    <w:basedOn w:val="CommentText"/>
    <w:next w:val="CommentText"/>
    <w:link w:val="CommentSubjectChar"/>
    <w:uiPriority w:val="99"/>
    <w:semiHidden/>
    <w:unhideWhenUsed/>
    <w:rsid w:val="008E4A8C"/>
    <w:rPr>
      <w:b/>
      <w:bCs/>
    </w:rPr>
  </w:style>
  <w:style w:type="character" w:customStyle="1" w:styleId="CommentSubjectChar">
    <w:name w:val="Comment Subject Char"/>
    <w:link w:val="CommentSubject"/>
    <w:uiPriority w:val="99"/>
    <w:semiHidden/>
    <w:rsid w:val="008E4A8C"/>
    <w:rPr>
      <w:b/>
      <w:bCs/>
      <w:lang w:eastAsia="en-US"/>
    </w:rPr>
  </w:style>
  <w:style w:type="paragraph" w:styleId="Revision">
    <w:name w:val="Revision"/>
    <w:hidden/>
    <w:uiPriority w:val="99"/>
    <w:semiHidden/>
    <w:rsid w:val="00A56DEF"/>
    <w:rPr>
      <w:sz w:val="22"/>
      <w:szCs w:val="22"/>
      <w:lang w:val="en-GB" w:eastAsia="en-US"/>
    </w:rPr>
  </w:style>
  <w:style w:type="character" w:styleId="FollowedHyperlink">
    <w:name w:val="FollowedHyperlink"/>
    <w:basedOn w:val="DefaultParagraphFont"/>
    <w:uiPriority w:val="99"/>
    <w:semiHidden/>
    <w:unhideWhenUsed/>
    <w:rsid w:val="002923F2"/>
    <w:rPr>
      <w:color w:val="800080" w:themeColor="followedHyperlink"/>
      <w:u w:val="single"/>
    </w:rPr>
  </w:style>
  <w:style w:type="character" w:customStyle="1" w:styleId="Notedebasdepage">
    <w:name w:val="Note de bas de page_"/>
    <w:basedOn w:val="DefaultParagraphFont"/>
    <w:link w:val="Notedebasdepage1"/>
    <w:uiPriority w:val="99"/>
    <w:locked/>
    <w:rsid w:val="00FA394F"/>
    <w:rPr>
      <w:rFonts w:ascii="Arial" w:hAnsi="Arial" w:cs="Arial"/>
      <w:sz w:val="18"/>
      <w:szCs w:val="18"/>
      <w:shd w:val="clear" w:color="auto" w:fill="FFFFFF"/>
    </w:rPr>
  </w:style>
  <w:style w:type="paragraph" w:customStyle="1" w:styleId="Notedebasdepage1">
    <w:name w:val="Note de bas de page1"/>
    <w:basedOn w:val="Normal"/>
    <w:link w:val="Notedebasdepage"/>
    <w:uiPriority w:val="99"/>
    <w:rsid w:val="00FA394F"/>
    <w:pPr>
      <w:widowControl w:val="0"/>
      <w:shd w:val="clear" w:color="auto" w:fill="FFFFFF"/>
      <w:spacing w:after="0" w:line="240" w:lineRule="exact"/>
    </w:pPr>
    <w:rPr>
      <w:rFonts w:ascii="Arial" w:hAnsi="Arial" w:cs="Arial"/>
      <w:sz w:val="18"/>
      <w:szCs w:val="18"/>
      <w:lang w:val="fr-FR" w:eastAsia="fr-FR"/>
    </w:rPr>
  </w:style>
  <w:style w:type="character" w:customStyle="1" w:styleId="En-tte1">
    <w:name w:val="En-tête #1_"/>
    <w:basedOn w:val="DefaultParagraphFont"/>
    <w:link w:val="En-tte10"/>
    <w:uiPriority w:val="99"/>
    <w:locked/>
    <w:rsid w:val="00FA394F"/>
    <w:rPr>
      <w:rFonts w:ascii="Arial" w:hAnsi="Arial" w:cs="Arial"/>
      <w:b/>
      <w:bCs/>
      <w:sz w:val="23"/>
      <w:szCs w:val="23"/>
      <w:shd w:val="clear" w:color="auto" w:fill="FFFFFF"/>
    </w:rPr>
  </w:style>
  <w:style w:type="paragraph" w:customStyle="1" w:styleId="En-tte10">
    <w:name w:val="En-tête #1"/>
    <w:basedOn w:val="Normal"/>
    <w:link w:val="En-tte1"/>
    <w:uiPriority w:val="99"/>
    <w:rsid w:val="00FA394F"/>
    <w:pPr>
      <w:widowControl w:val="0"/>
      <w:shd w:val="clear" w:color="auto" w:fill="FFFFFF"/>
      <w:spacing w:after="240" w:line="240" w:lineRule="atLeast"/>
      <w:jc w:val="center"/>
      <w:outlineLvl w:val="0"/>
    </w:pPr>
    <w:rPr>
      <w:rFonts w:ascii="Arial" w:hAnsi="Arial" w:cs="Arial"/>
      <w:b/>
      <w:bCs/>
      <w:sz w:val="23"/>
      <w:szCs w:val="23"/>
      <w:lang w:val="fr-FR" w:eastAsia="fr-FR"/>
    </w:rPr>
  </w:style>
  <w:style w:type="character" w:customStyle="1" w:styleId="Corpsdutexte">
    <w:name w:val="Corps du texte_"/>
    <w:basedOn w:val="DefaultParagraphFont"/>
    <w:link w:val="Corpsdutexte1"/>
    <w:uiPriority w:val="99"/>
    <w:locked/>
    <w:rsid w:val="00FA394F"/>
    <w:rPr>
      <w:rFonts w:ascii="Arial" w:hAnsi="Arial" w:cs="Arial"/>
      <w:sz w:val="18"/>
      <w:szCs w:val="18"/>
      <w:shd w:val="clear" w:color="auto" w:fill="FFFFFF"/>
    </w:rPr>
  </w:style>
  <w:style w:type="paragraph" w:customStyle="1" w:styleId="Corpsdutexte1">
    <w:name w:val="Corps du texte1"/>
    <w:basedOn w:val="Normal"/>
    <w:link w:val="Corpsdutexte"/>
    <w:uiPriority w:val="99"/>
    <w:rsid w:val="00FA394F"/>
    <w:pPr>
      <w:widowControl w:val="0"/>
      <w:shd w:val="clear" w:color="auto" w:fill="FFFFFF"/>
      <w:spacing w:before="420" w:after="240" w:line="269" w:lineRule="exact"/>
      <w:ind w:hanging="380"/>
      <w:jc w:val="both"/>
    </w:pPr>
    <w:rPr>
      <w:rFonts w:ascii="Arial" w:hAnsi="Arial" w:cs="Arial"/>
      <w:sz w:val="18"/>
      <w:szCs w:val="18"/>
      <w:lang w:val="fr-FR" w:eastAsia="fr-FR"/>
    </w:rPr>
  </w:style>
  <w:style w:type="character" w:customStyle="1" w:styleId="En-tte3">
    <w:name w:val="En-tête #3_"/>
    <w:basedOn w:val="DefaultParagraphFont"/>
    <w:link w:val="En-tte30"/>
    <w:uiPriority w:val="99"/>
    <w:locked/>
    <w:rsid w:val="00FA394F"/>
    <w:rPr>
      <w:rFonts w:ascii="Arial" w:hAnsi="Arial" w:cs="Arial"/>
      <w:sz w:val="18"/>
      <w:szCs w:val="18"/>
      <w:shd w:val="clear" w:color="auto" w:fill="FFFFFF"/>
    </w:rPr>
  </w:style>
  <w:style w:type="paragraph" w:customStyle="1" w:styleId="En-tte30">
    <w:name w:val="En-tête #3"/>
    <w:basedOn w:val="Normal"/>
    <w:link w:val="En-tte3"/>
    <w:uiPriority w:val="99"/>
    <w:rsid w:val="00FA394F"/>
    <w:pPr>
      <w:widowControl w:val="0"/>
      <w:shd w:val="clear" w:color="auto" w:fill="FFFFFF"/>
      <w:spacing w:before="300" w:after="0" w:line="398" w:lineRule="exact"/>
      <w:jc w:val="both"/>
      <w:outlineLvl w:val="2"/>
    </w:pPr>
    <w:rPr>
      <w:rFonts w:ascii="Arial" w:hAnsi="Arial" w:cs="Arial"/>
      <w:sz w:val="18"/>
      <w:szCs w:val="18"/>
      <w:lang w:val="fr-FR" w:eastAsia="fr-FR"/>
    </w:rPr>
  </w:style>
  <w:style w:type="character" w:customStyle="1" w:styleId="CorpsdutexteGras">
    <w:name w:val="Corps du texte + Gras"/>
    <w:basedOn w:val="Corpsdutexte"/>
    <w:uiPriority w:val="99"/>
    <w:rsid w:val="00FA394F"/>
    <w:rPr>
      <w:rFonts w:ascii="Arial" w:hAnsi="Arial" w:cs="Arial"/>
      <w:b/>
      <w:bCs/>
      <w:sz w:val="18"/>
      <w:szCs w:val="18"/>
      <w:shd w:val="clear" w:color="auto" w:fill="FFFFFF"/>
    </w:rPr>
  </w:style>
  <w:style w:type="character" w:customStyle="1" w:styleId="En-tte3Gras">
    <w:name w:val="En-tête #3 + Gras"/>
    <w:basedOn w:val="En-tte3"/>
    <w:uiPriority w:val="99"/>
    <w:rsid w:val="00FA394F"/>
    <w:rPr>
      <w:rFonts w:ascii="Arial" w:hAnsi="Arial" w:cs="Arial"/>
      <w:b/>
      <w:bCs/>
      <w:sz w:val="18"/>
      <w:szCs w:val="18"/>
      <w:shd w:val="clear" w:color="auto" w:fill="FFFFFF"/>
    </w:rPr>
  </w:style>
  <w:style w:type="paragraph" w:styleId="ListParagraph">
    <w:name w:val="List Paragraph"/>
    <w:basedOn w:val="Normal"/>
    <w:uiPriority w:val="34"/>
    <w:qFormat/>
    <w:rsid w:val="00220582"/>
    <w:pPr>
      <w:ind w:left="720"/>
      <w:contextualSpacing/>
    </w:pPr>
  </w:style>
  <w:style w:type="paragraph" w:styleId="FootnoteText">
    <w:name w:val="footnote text"/>
    <w:basedOn w:val="Normal"/>
    <w:link w:val="FootnoteTextChar"/>
    <w:uiPriority w:val="99"/>
    <w:semiHidden/>
    <w:unhideWhenUsed/>
    <w:rsid w:val="00BF3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292"/>
    <w:rPr>
      <w:lang w:val="en-GB" w:eastAsia="en-US"/>
    </w:rPr>
  </w:style>
  <w:style w:type="character" w:styleId="FootnoteReference">
    <w:name w:val="footnote reference"/>
    <w:basedOn w:val="DefaultParagraphFont"/>
    <w:uiPriority w:val="99"/>
    <w:semiHidden/>
    <w:unhideWhenUsed/>
    <w:rsid w:val="00BF32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80"/>
    <w:rPr>
      <w:rFonts w:ascii="Tahoma" w:hAnsi="Tahoma" w:cs="Tahoma"/>
      <w:sz w:val="16"/>
      <w:szCs w:val="16"/>
      <w:lang w:eastAsia="en-US"/>
    </w:rPr>
  </w:style>
  <w:style w:type="character" w:styleId="Hyperlink">
    <w:name w:val="Hyperlink"/>
    <w:uiPriority w:val="99"/>
    <w:unhideWhenUsed/>
    <w:rsid w:val="00676918"/>
    <w:rPr>
      <w:color w:val="0000FF"/>
      <w:u w:val="single"/>
    </w:rPr>
  </w:style>
  <w:style w:type="character" w:styleId="CommentReference">
    <w:name w:val="annotation reference"/>
    <w:uiPriority w:val="99"/>
    <w:semiHidden/>
    <w:unhideWhenUsed/>
    <w:rsid w:val="008E4A8C"/>
    <w:rPr>
      <w:sz w:val="16"/>
      <w:szCs w:val="16"/>
    </w:rPr>
  </w:style>
  <w:style w:type="paragraph" w:styleId="CommentText">
    <w:name w:val="annotation text"/>
    <w:basedOn w:val="Normal"/>
    <w:link w:val="CommentTextChar"/>
    <w:uiPriority w:val="99"/>
    <w:semiHidden/>
    <w:unhideWhenUsed/>
    <w:rsid w:val="008E4A8C"/>
    <w:rPr>
      <w:sz w:val="20"/>
      <w:szCs w:val="20"/>
    </w:rPr>
  </w:style>
  <w:style w:type="character" w:customStyle="1" w:styleId="CommentTextChar">
    <w:name w:val="Comment Text Char"/>
    <w:link w:val="CommentText"/>
    <w:uiPriority w:val="99"/>
    <w:semiHidden/>
    <w:rsid w:val="008E4A8C"/>
    <w:rPr>
      <w:lang w:eastAsia="en-US"/>
    </w:rPr>
  </w:style>
  <w:style w:type="paragraph" w:styleId="CommentSubject">
    <w:name w:val="annotation subject"/>
    <w:basedOn w:val="CommentText"/>
    <w:next w:val="CommentText"/>
    <w:link w:val="CommentSubjectChar"/>
    <w:uiPriority w:val="99"/>
    <w:semiHidden/>
    <w:unhideWhenUsed/>
    <w:rsid w:val="008E4A8C"/>
    <w:rPr>
      <w:b/>
      <w:bCs/>
    </w:rPr>
  </w:style>
  <w:style w:type="character" w:customStyle="1" w:styleId="CommentSubjectChar">
    <w:name w:val="Comment Subject Char"/>
    <w:link w:val="CommentSubject"/>
    <w:uiPriority w:val="99"/>
    <w:semiHidden/>
    <w:rsid w:val="008E4A8C"/>
    <w:rPr>
      <w:b/>
      <w:bCs/>
      <w:lang w:eastAsia="en-US"/>
    </w:rPr>
  </w:style>
  <w:style w:type="paragraph" w:styleId="Revision">
    <w:name w:val="Revision"/>
    <w:hidden/>
    <w:uiPriority w:val="99"/>
    <w:semiHidden/>
    <w:rsid w:val="00A56DEF"/>
    <w:rPr>
      <w:sz w:val="22"/>
      <w:szCs w:val="22"/>
      <w:lang w:val="en-GB" w:eastAsia="en-US"/>
    </w:rPr>
  </w:style>
  <w:style w:type="character" w:styleId="FollowedHyperlink">
    <w:name w:val="FollowedHyperlink"/>
    <w:basedOn w:val="DefaultParagraphFont"/>
    <w:uiPriority w:val="99"/>
    <w:semiHidden/>
    <w:unhideWhenUsed/>
    <w:rsid w:val="002923F2"/>
    <w:rPr>
      <w:color w:val="800080" w:themeColor="followedHyperlink"/>
      <w:u w:val="single"/>
    </w:rPr>
  </w:style>
  <w:style w:type="character" w:customStyle="1" w:styleId="Notedebasdepage">
    <w:name w:val="Note de bas de page_"/>
    <w:basedOn w:val="DefaultParagraphFont"/>
    <w:link w:val="Notedebasdepage1"/>
    <w:uiPriority w:val="99"/>
    <w:locked/>
    <w:rsid w:val="00FA394F"/>
    <w:rPr>
      <w:rFonts w:ascii="Arial" w:hAnsi="Arial" w:cs="Arial"/>
      <w:sz w:val="18"/>
      <w:szCs w:val="18"/>
      <w:shd w:val="clear" w:color="auto" w:fill="FFFFFF"/>
    </w:rPr>
  </w:style>
  <w:style w:type="paragraph" w:customStyle="1" w:styleId="Notedebasdepage1">
    <w:name w:val="Note de bas de page1"/>
    <w:basedOn w:val="Normal"/>
    <w:link w:val="Notedebasdepage"/>
    <w:uiPriority w:val="99"/>
    <w:rsid w:val="00FA394F"/>
    <w:pPr>
      <w:widowControl w:val="0"/>
      <w:shd w:val="clear" w:color="auto" w:fill="FFFFFF"/>
      <w:spacing w:after="0" w:line="240" w:lineRule="exact"/>
    </w:pPr>
    <w:rPr>
      <w:rFonts w:ascii="Arial" w:hAnsi="Arial" w:cs="Arial"/>
      <w:sz w:val="18"/>
      <w:szCs w:val="18"/>
      <w:lang w:val="fr-FR" w:eastAsia="fr-FR"/>
    </w:rPr>
  </w:style>
  <w:style w:type="character" w:customStyle="1" w:styleId="En-tte1">
    <w:name w:val="En-tête #1_"/>
    <w:basedOn w:val="DefaultParagraphFont"/>
    <w:link w:val="En-tte10"/>
    <w:uiPriority w:val="99"/>
    <w:locked/>
    <w:rsid w:val="00FA394F"/>
    <w:rPr>
      <w:rFonts w:ascii="Arial" w:hAnsi="Arial" w:cs="Arial"/>
      <w:b/>
      <w:bCs/>
      <w:sz w:val="23"/>
      <w:szCs w:val="23"/>
      <w:shd w:val="clear" w:color="auto" w:fill="FFFFFF"/>
    </w:rPr>
  </w:style>
  <w:style w:type="paragraph" w:customStyle="1" w:styleId="En-tte10">
    <w:name w:val="En-tête #1"/>
    <w:basedOn w:val="Normal"/>
    <w:link w:val="En-tte1"/>
    <w:uiPriority w:val="99"/>
    <w:rsid w:val="00FA394F"/>
    <w:pPr>
      <w:widowControl w:val="0"/>
      <w:shd w:val="clear" w:color="auto" w:fill="FFFFFF"/>
      <w:spacing w:after="240" w:line="240" w:lineRule="atLeast"/>
      <w:jc w:val="center"/>
      <w:outlineLvl w:val="0"/>
    </w:pPr>
    <w:rPr>
      <w:rFonts w:ascii="Arial" w:hAnsi="Arial" w:cs="Arial"/>
      <w:b/>
      <w:bCs/>
      <w:sz w:val="23"/>
      <w:szCs w:val="23"/>
      <w:lang w:val="fr-FR" w:eastAsia="fr-FR"/>
    </w:rPr>
  </w:style>
  <w:style w:type="character" w:customStyle="1" w:styleId="Corpsdutexte">
    <w:name w:val="Corps du texte_"/>
    <w:basedOn w:val="DefaultParagraphFont"/>
    <w:link w:val="Corpsdutexte1"/>
    <w:uiPriority w:val="99"/>
    <w:locked/>
    <w:rsid w:val="00FA394F"/>
    <w:rPr>
      <w:rFonts w:ascii="Arial" w:hAnsi="Arial" w:cs="Arial"/>
      <w:sz w:val="18"/>
      <w:szCs w:val="18"/>
      <w:shd w:val="clear" w:color="auto" w:fill="FFFFFF"/>
    </w:rPr>
  </w:style>
  <w:style w:type="paragraph" w:customStyle="1" w:styleId="Corpsdutexte1">
    <w:name w:val="Corps du texte1"/>
    <w:basedOn w:val="Normal"/>
    <w:link w:val="Corpsdutexte"/>
    <w:uiPriority w:val="99"/>
    <w:rsid w:val="00FA394F"/>
    <w:pPr>
      <w:widowControl w:val="0"/>
      <w:shd w:val="clear" w:color="auto" w:fill="FFFFFF"/>
      <w:spacing w:before="420" w:after="240" w:line="269" w:lineRule="exact"/>
      <w:ind w:hanging="380"/>
      <w:jc w:val="both"/>
    </w:pPr>
    <w:rPr>
      <w:rFonts w:ascii="Arial" w:hAnsi="Arial" w:cs="Arial"/>
      <w:sz w:val="18"/>
      <w:szCs w:val="18"/>
      <w:lang w:val="fr-FR" w:eastAsia="fr-FR"/>
    </w:rPr>
  </w:style>
  <w:style w:type="character" w:customStyle="1" w:styleId="En-tte3">
    <w:name w:val="En-tête #3_"/>
    <w:basedOn w:val="DefaultParagraphFont"/>
    <w:link w:val="En-tte30"/>
    <w:uiPriority w:val="99"/>
    <w:locked/>
    <w:rsid w:val="00FA394F"/>
    <w:rPr>
      <w:rFonts w:ascii="Arial" w:hAnsi="Arial" w:cs="Arial"/>
      <w:sz w:val="18"/>
      <w:szCs w:val="18"/>
      <w:shd w:val="clear" w:color="auto" w:fill="FFFFFF"/>
    </w:rPr>
  </w:style>
  <w:style w:type="paragraph" w:customStyle="1" w:styleId="En-tte30">
    <w:name w:val="En-tête #3"/>
    <w:basedOn w:val="Normal"/>
    <w:link w:val="En-tte3"/>
    <w:uiPriority w:val="99"/>
    <w:rsid w:val="00FA394F"/>
    <w:pPr>
      <w:widowControl w:val="0"/>
      <w:shd w:val="clear" w:color="auto" w:fill="FFFFFF"/>
      <w:spacing w:before="300" w:after="0" w:line="398" w:lineRule="exact"/>
      <w:jc w:val="both"/>
      <w:outlineLvl w:val="2"/>
    </w:pPr>
    <w:rPr>
      <w:rFonts w:ascii="Arial" w:hAnsi="Arial" w:cs="Arial"/>
      <w:sz w:val="18"/>
      <w:szCs w:val="18"/>
      <w:lang w:val="fr-FR" w:eastAsia="fr-FR"/>
    </w:rPr>
  </w:style>
  <w:style w:type="character" w:customStyle="1" w:styleId="CorpsdutexteGras">
    <w:name w:val="Corps du texte + Gras"/>
    <w:basedOn w:val="Corpsdutexte"/>
    <w:uiPriority w:val="99"/>
    <w:rsid w:val="00FA394F"/>
    <w:rPr>
      <w:rFonts w:ascii="Arial" w:hAnsi="Arial" w:cs="Arial"/>
      <w:b/>
      <w:bCs/>
      <w:sz w:val="18"/>
      <w:szCs w:val="18"/>
      <w:shd w:val="clear" w:color="auto" w:fill="FFFFFF"/>
    </w:rPr>
  </w:style>
  <w:style w:type="character" w:customStyle="1" w:styleId="En-tte3Gras">
    <w:name w:val="En-tête #3 + Gras"/>
    <w:basedOn w:val="En-tte3"/>
    <w:uiPriority w:val="99"/>
    <w:rsid w:val="00FA394F"/>
    <w:rPr>
      <w:rFonts w:ascii="Arial" w:hAnsi="Arial" w:cs="Arial"/>
      <w:b/>
      <w:bCs/>
      <w:sz w:val="18"/>
      <w:szCs w:val="18"/>
      <w:shd w:val="clear" w:color="auto" w:fill="FFFFFF"/>
    </w:rPr>
  </w:style>
  <w:style w:type="paragraph" w:styleId="ListParagraph">
    <w:name w:val="List Paragraph"/>
    <w:basedOn w:val="Normal"/>
    <w:uiPriority w:val="34"/>
    <w:qFormat/>
    <w:rsid w:val="00220582"/>
    <w:pPr>
      <w:ind w:left="720"/>
      <w:contextualSpacing/>
    </w:pPr>
  </w:style>
  <w:style w:type="paragraph" w:styleId="FootnoteText">
    <w:name w:val="footnote text"/>
    <w:basedOn w:val="Normal"/>
    <w:link w:val="FootnoteTextChar"/>
    <w:uiPriority w:val="99"/>
    <w:semiHidden/>
    <w:unhideWhenUsed/>
    <w:rsid w:val="00BF3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292"/>
    <w:rPr>
      <w:lang w:val="en-GB" w:eastAsia="en-US"/>
    </w:rPr>
  </w:style>
  <w:style w:type="character" w:styleId="FootnoteReference">
    <w:name w:val="footnote reference"/>
    <w:basedOn w:val="DefaultParagraphFont"/>
    <w:uiPriority w:val="99"/>
    <w:semiHidden/>
    <w:unhideWhenUsed/>
    <w:rsid w:val="00BF32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8750">
      <w:bodyDiv w:val="1"/>
      <w:marLeft w:val="0"/>
      <w:marRight w:val="0"/>
      <w:marTop w:val="0"/>
      <w:marBottom w:val="0"/>
      <w:divBdr>
        <w:top w:val="none" w:sz="0" w:space="0" w:color="auto"/>
        <w:left w:val="none" w:sz="0" w:space="0" w:color="auto"/>
        <w:bottom w:val="none" w:sz="0" w:space="0" w:color="auto"/>
        <w:right w:val="none" w:sz="0" w:space="0" w:color="auto"/>
      </w:divBdr>
    </w:div>
    <w:div w:id="265624678">
      <w:bodyDiv w:val="1"/>
      <w:marLeft w:val="0"/>
      <w:marRight w:val="0"/>
      <w:marTop w:val="0"/>
      <w:marBottom w:val="0"/>
      <w:divBdr>
        <w:top w:val="none" w:sz="0" w:space="0" w:color="auto"/>
        <w:left w:val="none" w:sz="0" w:space="0" w:color="auto"/>
        <w:bottom w:val="none" w:sz="0" w:space="0" w:color="auto"/>
        <w:right w:val="none" w:sz="0" w:space="0" w:color="auto"/>
      </w:divBdr>
    </w:div>
    <w:div w:id="541553304">
      <w:bodyDiv w:val="1"/>
      <w:marLeft w:val="0"/>
      <w:marRight w:val="0"/>
      <w:marTop w:val="0"/>
      <w:marBottom w:val="0"/>
      <w:divBdr>
        <w:top w:val="none" w:sz="0" w:space="0" w:color="auto"/>
        <w:left w:val="none" w:sz="0" w:space="0" w:color="auto"/>
        <w:bottom w:val="none" w:sz="0" w:space="0" w:color="auto"/>
        <w:right w:val="none" w:sz="0" w:space="0" w:color="auto"/>
      </w:divBdr>
    </w:div>
    <w:div w:id="631910638">
      <w:bodyDiv w:val="1"/>
      <w:marLeft w:val="0"/>
      <w:marRight w:val="0"/>
      <w:marTop w:val="0"/>
      <w:marBottom w:val="0"/>
      <w:divBdr>
        <w:top w:val="none" w:sz="0" w:space="0" w:color="auto"/>
        <w:left w:val="none" w:sz="0" w:space="0" w:color="auto"/>
        <w:bottom w:val="none" w:sz="0" w:space="0" w:color="auto"/>
        <w:right w:val="none" w:sz="0" w:space="0" w:color="auto"/>
      </w:divBdr>
    </w:div>
    <w:div w:id="1082409483">
      <w:bodyDiv w:val="1"/>
      <w:marLeft w:val="0"/>
      <w:marRight w:val="0"/>
      <w:marTop w:val="0"/>
      <w:marBottom w:val="0"/>
      <w:divBdr>
        <w:top w:val="none" w:sz="0" w:space="0" w:color="auto"/>
        <w:left w:val="none" w:sz="0" w:space="0" w:color="auto"/>
        <w:bottom w:val="none" w:sz="0" w:space="0" w:color="auto"/>
        <w:right w:val="none" w:sz="0" w:space="0" w:color="auto"/>
      </w:divBdr>
    </w:div>
    <w:div w:id="1373966993">
      <w:bodyDiv w:val="1"/>
      <w:marLeft w:val="0"/>
      <w:marRight w:val="0"/>
      <w:marTop w:val="0"/>
      <w:marBottom w:val="0"/>
      <w:divBdr>
        <w:top w:val="none" w:sz="0" w:space="0" w:color="auto"/>
        <w:left w:val="none" w:sz="0" w:space="0" w:color="auto"/>
        <w:bottom w:val="none" w:sz="0" w:space="0" w:color="auto"/>
        <w:right w:val="none" w:sz="0" w:space="0" w:color="auto"/>
      </w:divBdr>
    </w:div>
    <w:div w:id="1611205240">
      <w:bodyDiv w:val="1"/>
      <w:marLeft w:val="0"/>
      <w:marRight w:val="0"/>
      <w:marTop w:val="0"/>
      <w:marBottom w:val="0"/>
      <w:divBdr>
        <w:top w:val="none" w:sz="0" w:space="0" w:color="auto"/>
        <w:left w:val="none" w:sz="0" w:space="0" w:color="auto"/>
        <w:bottom w:val="none" w:sz="0" w:space="0" w:color="auto"/>
        <w:right w:val="none" w:sz="0" w:space="0" w:color="auto"/>
      </w:divBdr>
    </w:div>
    <w:div w:id="1777603735">
      <w:bodyDiv w:val="1"/>
      <w:marLeft w:val="0"/>
      <w:marRight w:val="0"/>
      <w:marTop w:val="0"/>
      <w:marBottom w:val="0"/>
      <w:divBdr>
        <w:top w:val="none" w:sz="0" w:space="0" w:color="auto"/>
        <w:left w:val="none" w:sz="0" w:space="0" w:color="auto"/>
        <w:bottom w:val="none" w:sz="0" w:space="0" w:color="auto"/>
        <w:right w:val="none" w:sz="0" w:space="0" w:color="auto"/>
      </w:divBdr>
    </w:div>
    <w:div w:id="1800568300">
      <w:bodyDiv w:val="1"/>
      <w:marLeft w:val="0"/>
      <w:marRight w:val="0"/>
      <w:marTop w:val="0"/>
      <w:marBottom w:val="0"/>
      <w:divBdr>
        <w:top w:val="none" w:sz="0" w:space="0" w:color="auto"/>
        <w:left w:val="none" w:sz="0" w:space="0" w:color="auto"/>
        <w:bottom w:val="none" w:sz="0" w:space="0" w:color="auto"/>
        <w:right w:val="none" w:sz="0" w:space="0" w:color="auto"/>
      </w:divBdr>
    </w:div>
    <w:div w:id="21414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apacity4dev.ec.europa.eu/t-and-m-series/document/reference-document-nr-14-social-transfers-fight-against-hung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0E40-7A38-4B08-86E4-3A5733D0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6256</CharactersWithSpaces>
  <SharedDoc>false</SharedDoc>
  <HLinks>
    <vt:vector size="36" baseType="variant">
      <vt:variant>
        <vt:i4>3801203</vt:i4>
      </vt:variant>
      <vt:variant>
        <vt:i4>15</vt:i4>
      </vt:variant>
      <vt:variant>
        <vt:i4>0</vt:i4>
      </vt:variant>
      <vt:variant>
        <vt:i4>5</vt:i4>
      </vt:variant>
      <vt:variant>
        <vt:lpwstr>https://www.gov.uk/government/uploads/system/uploads/attachment_data/file/248760/Endorserscompact_update7_10_2013.pdf</vt:lpwstr>
      </vt:variant>
      <vt:variant>
        <vt:lpwstr/>
      </vt:variant>
      <vt:variant>
        <vt:i4>4259840</vt:i4>
      </vt:variant>
      <vt:variant>
        <vt:i4>12</vt:i4>
      </vt:variant>
      <vt:variant>
        <vt:i4>0</vt:i4>
      </vt:variant>
      <vt:variant>
        <vt:i4>5</vt:i4>
      </vt:variant>
      <vt:variant>
        <vt:lpwstr>http://www.caadp.net/pdf/CAADP FAFS BROCHURE indd.pdf</vt:lpwstr>
      </vt:variant>
      <vt:variant>
        <vt:lpwstr/>
      </vt:variant>
      <vt:variant>
        <vt:i4>6094866</vt:i4>
      </vt:variant>
      <vt:variant>
        <vt:i4>9</vt:i4>
      </vt:variant>
      <vt:variant>
        <vt:i4>0</vt:i4>
      </vt:variant>
      <vt:variant>
        <vt:i4>5</vt:i4>
      </vt:variant>
      <vt:variant>
        <vt:lpwstr>http://legacy.measuredhs.com/help/Datasets/index.htm</vt:lpwstr>
      </vt:variant>
      <vt:variant>
        <vt:lpwstr/>
      </vt:variant>
      <vt:variant>
        <vt:i4>7405691</vt:i4>
      </vt:variant>
      <vt:variant>
        <vt:i4>6</vt:i4>
      </vt:variant>
      <vt:variant>
        <vt:i4>0</vt:i4>
      </vt:variant>
      <vt:variant>
        <vt:i4>5</vt:i4>
      </vt:variant>
      <vt:variant>
        <vt:lpwstr>http://www.who.int/nutgrowthdb/en/</vt:lpwstr>
      </vt:variant>
      <vt:variant>
        <vt:lpwstr/>
      </vt:variant>
      <vt:variant>
        <vt:i4>6750318</vt:i4>
      </vt:variant>
      <vt:variant>
        <vt:i4>3</vt:i4>
      </vt:variant>
      <vt:variant>
        <vt:i4>0</vt:i4>
      </vt:variant>
      <vt:variant>
        <vt:i4>5</vt:i4>
      </vt:variant>
      <vt:variant>
        <vt:lpwstr>http://www.who.int/childgrowth/en/</vt:lpwstr>
      </vt:variant>
      <vt:variant>
        <vt:lpwstr/>
      </vt:variant>
      <vt:variant>
        <vt:i4>7536753</vt:i4>
      </vt:variant>
      <vt:variant>
        <vt:i4>0</vt:i4>
      </vt:variant>
      <vt:variant>
        <vt:i4>0</vt:i4>
      </vt:variant>
      <vt:variant>
        <vt:i4>5</vt:i4>
      </vt:variant>
      <vt:variant>
        <vt:lpwstr>http://www.who.int/childgrowth/mgrs/en/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Medhi (DEVCO)</dc:creator>
  <cp:lastModifiedBy>ALFIERI Andrea (DEVCO)</cp:lastModifiedBy>
  <cp:revision>4</cp:revision>
  <cp:lastPrinted>2014-09-05T08:22:00Z</cp:lastPrinted>
  <dcterms:created xsi:type="dcterms:W3CDTF">2015-06-23T15:03:00Z</dcterms:created>
  <dcterms:modified xsi:type="dcterms:W3CDTF">2016-01-27T09:58:00Z</dcterms:modified>
</cp:coreProperties>
</file>