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8" w:rsidRPr="002C6871" w:rsidRDefault="00EB6F48">
      <w:pPr>
        <w:rPr>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478"/>
      </w:tblGrid>
      <w:tr w:rsidR="0035073D" w:rsidRPr="001A238F" w:rsidTr="0035073D">
        <w:tc>
          <w:tcPr>
            <w:tcW w:w="0" w:type="auto"/>
            <w:shd w:val="pct10" w:color="auto" w:fill="auto"/>
            <w:vAlign w:val="bottom"/>
          </w:tcPr>
          <w:p w:rsidR="00322F21" w:rsidRPr="001A238F" w:rsidRDefault="00322F21">
            <w:pPr>
              <w:rPr>
                <w:rFonts w:asciiTheme="minorHAnsi" w:hAnsiTheme="minorHAnsi"/>
                <w:color w:val="000000"/>
              </w:rPr>
            </w:pPr>
            <w:r w:rsidRPr="001A238F">
              <w:rPr>
                <w:rFonts w:asciiTheme="minorHAnsi" w:hAnsiTheme="minorHAnsi"/>
                <w:color w:val="000000"/>
              </w:rPr>
              <w:t>1. Name of indicator</w:t>
            </w:r>
          </w:p>
        </w:tc>
        <w:tc>
          <w:tcPr>
            <w:tcW w:w="0" w:type="auto"/>
            <w:shd w:val="pct10" w:color="auto" w:fill="auto"/>
          </w:tcPr>
          <w:p w:rsidR="00220582" w:rsidRPr="001A238F" w:rsidRDefault="001A238F" w:rsidP="006E63B1">
            <w:pPr>
              <w:jc w:val="both"/>
              <w:rPr>
                <w:rFonts w:asciiTheme="minorHAnsi" w:hAnsiTheme="minorHAnsi"/>
                <w:b/>
              </w:rPr>
            </w:pPr>
            <w:r w:rsidRPr="001A238F">
              <w:rPr>
                <w:rFonts w:asciiTheme="minorHAnsi" w:hAnsiTheme="minorHAnsi"/>
                <w:b/>
              </w:rPr>
              <w:t>Leverage of EU blending operations</w:t>
            </w:r>
          </w:p>
        </w:tc>
      </w:tr>
      <w:tr w:rsidR="0035073D" w:rsidRPr="001A238F" w:rsidTr="0035073D">
        <w:tc>
          <w:tcPr>
            <w:tcW w:w="0" w:type="auto"/>
            <w:tcBorders>
              <w:bottom w:val="single" w:sz="4" w:space="0" w:color="auto"/>
            </w:tcBorders>
            <w:shd w:val="clear" w:color="auto" w:fill="auto"/>
            <w:vAlign w:val="bottom"/>
          </w:tcPr>
          <w:p w:rsidR="00322F21" w:rsidRPr="001A238F" w:rsidRDefault="00322F21">
            <w:pPr>
              <w:rPr>
                <w:rFonts w:asciiTheme="minorHAnsi" w:hAnsiTheme="minorHAnsi"/>
                <w:color w:val="000000"/>
              </w:rPr>
            </w:pPr>
          </w:p>
        </w:tc>
        <w:tc>
          <w:tcPr>
            <w:tcW w:w="0" w:type="auto"/>
            <w:tcBorders>
              <w:bottom w:val="single" w:sz="4" w:space="0" w:color="auto"/>
            </w:tcBorders>
            <w:shd w:val="clear" w:color="auto" w:fill="auto"/>
          </w:tcPr>
          <w:p w:rsidR="00322F21" w:rsidRPr="001A238F" w:rsidRDefault="00322F21">
            <w:pPr>
              <w:rPr>
                <w:rFonts w:asciiTheme="minorHAnsi" w:hAnsiTheme="minorHAnsi"/>
              </w:rPr>
            </w:pPr>
          </w:p>
        </w:tc>
      </w:tr>
      <w:tr w:rsidR="0035073D" w:rsidRPr="001A238F" w:rsidTr="0035073D">
        <w:tc>
          <w:tcPr>
            <w:tcW w:w="0" w:type="auto"/>
            <w:shd w:val="pct10" w:color="auto" w:fill="auto"/>
          </w:tcPr>
          <w:p w:rsidR="00322F21" w:rsidRPr="001A238F" w:rsidRDefault="001E5416" w:rsidP="00631D80">
            <w:pPr>
              <w:rPr>
                <w:rFonts w:asciiTheme="minorHAnsi" w:hAnsiTheme="minorHAnsi"/>
                <w:color w:val="000000"/>
              </w:rPr>
            </w:pPr>
            <w:r>
              <w:rPr>
                <w:rFonts w:asciiTheme="minorHAnsi" w:hAnsiTheme="minorHAnsi"/>
                <w:color w:val="000000"/>
              </w:rPr>
              <w:t>2</w:t>
            </w:r>
            <w:r w:rsidR="00322F21" w:rsidRPr="001A238F">
              <w:rPr>
                <w:rFonts w:asciiTheme="minorHAnsi" w:hAnsiTheme="minorHAnsi"/>
                <w:color w:val="000000"/>
              </w:rPr>
              <w:t xml:space="preserve">. Technical Definition </w:t>
            </w:r>
          </w:p>
        </w:tc>
        <w:tc>
          <w:tcPr>
            <w:tcW w:w="0" w:type="auto"/>
            <w:shd w:val="pct10" w:color="auto" w:fill="auto"/>
          </w:tcPr>
          <w:p w:rsidR="00763677" w:rsidRPr="001A238F" w:rsidRDefault="0035073D" w:rsidP="006B57B8">
            <w:pPr>
              <w:autoSpaceDE w:val="0"/>
              <w:autoSpaceDN w:val="0"/>
              <w:adjustRightInd w:val="0"/>
              <w:spacing w:after="0" w:line="240" w:lineRule="auto"/>
              <w:rPr>
                <w:rFonts w:asciiTheme="minorHAnsi" w:eastAsia="Times New Roman" w:hAnsiTheme="minorHAnsi"/>
                <w:color w:val="000000"/>
                <w:lang w:eastAsia="en-GB"/>
              </w:rPr>
            </w:pPr>
            <w:r w:rsidRPr="001A238F">
              <w:rPr>
                <w:rFonts w:asciiTheme="minorHAnsi" w:eastAsia="Times New Roman" w:hAnsiTheme="minorHAnsi"/>
                <w:color w:val="000000"/>
                <w:lang w:eastAsia="en-GB"/>
              </w:rPr>
              <w:t xml:space="preserve">The indicator </w:t>
            </w:r>
            <w:r w:rsidR="00220582" w:rsidRPr="001A238F">
              <w:rPr>
                <w:rFonts w:asciiTheme="minorHAnsi" w:eastAsia="Times New Roman" w:hAnsiTheme="minorHAnsi"/>
                <w:color w:val="000000"/>
                <w:lang w:eastAsia="en-GB"/>
              </w:rPr>
              <w:t xml:space="preserve">is </w:t>
            </w:r>
            <w:r w:rsidR="001A238F">
              <w:rPr>
                <w:rFonts w:asciiTheme="minorHAnsi" w:eastAsia="Times New Roman" w:hAnsiTheme="minorHAnsi"/>
                <w:color w:val="000000"/>
                <w:lang w:eastAsia="en-GB"/>
              </w:rPr>
              <w:t xml:space="preserve">actually a set of 3 indicators </w:t>
            </w:r>
            <w:r w:rsidR="00220582" w:rsidRPr="001A238F">
              <w:rPr>
                <w:rFonts w:asciiTheme="minorHAnsi" w:eastAsia="Times New Roman" w:hAnsiTheme="minorHAnsi"/>
                <w:color w:val="000000"/>
                <w:lang w:eastAsia="en-GB"/>
              </w:rPr>
              <w:t>included at Level 3 of the EU Results Framewo</w:t>
            </w:r>
            <w:r w:rsidR="001A238F">
              <w:rPr>
                <w:rFonts w:asciiTheme="minorHAnsi" w:eastAsia="Times New Roman" w:hAnsiTheme="minorHAnsi"/>
                <w:color w:val="000000"/>
                <w:lang w:eastAsia="en-GB"/>
              </w:rPr>
              <w:t>rk (Organisational performance). The three aim</w:t>
            </w:r>
            <w:r w:rsidR="00220582" w:rsidRPr="001A238F">
              <w:rPr>
                <w:rFonts w:asciiTheme="minorHAnsi" w:eastAsia="Times New Roman" w:hAnsiTheme="minorHAnsi"/>
                <w:color w:val="000000"/>
                <w:lang w:eastAsia="en-GB"/>
              </w:rPr>
              <w:t xml:space="preserve"> to report </w:t>
            </w:r>
            <w:r w:rsidR="00FA394F" w:rsidRPr="001A238F">
              <w:rPr>
                <w:rFonts w:asciiTheme="minorHAnsi" w:eastAsia="Times New Roman" w:hAnsiTheme="minorHAnsi"/>
                <w:color w:val="000000"/>
                <w:lang w:eastAsia="en-GB"/>
              </w:rPr>
              <w:t>the</w:t>
            </w:r>
            <w:r w:rsidRPr="001A238F">
              <w:rPr>
                <w:rFonts w:asciiTheme="minorHAnsi" w:eastAsia="Times New Roman" w:hAnsiTheme="minorHAnsi"/>
                <w:color w:val="000000"/>
                <w:lang w:eastAsia="en-GB"/>
              </w:rPr>
              <w:t xml:space="preserve"> </w:t>
            </w:r>
            <w:r w:rsidR="001A238F" w:rsidRPr="001A238F">
              <w:rPr>
                <w:rFonts w:asciiTheme="minorHAnsi" w:eastAsia="Times New Roman" w:hAnsiTheme="minorHAnsi"/>
                <w:color w:val="000000"/>
                <w:lang w:eastAsia="en-GB"/>
              </w:rPr>
              <w:t xml:space="preserve">share of resources leveraged by </w:t>
            </w:r>
            <w:r w:rsidR="001A238F" w:rsidRPr="001A238F">
              <w:rPr>
                <w:rFonts w:asciiTheme="minorHAnsi" w:hAnsiTheme="minorHAnsi"/>
              </w:rPr>
              <w:t>EU blending facility grant as a proportion of the same grants</w:t>
            </w:r>
            <w:r w:rsidR="00763677" w:rsidRPr="001A238F">
              <w:rPr>
                <w:rFonts w:asciiTheme="minorHAnsi" w:eastAsia="Times New Roman" w:hAnsiTheme="minorHAnsi"/>
                <w:color w:val="000000"/>
                <w:lang w:eastAsia="en-GB"/>
              </w:rPr>
              <w:t xml:space="preserve">. </w:t>
            </w:r>
          </w:p>
          <w:p w:rsidR="00D56106" w:rsidRPr="001A238F" w:rsidRDefault="00D56106" w:rsidP="00D56106">
            <w:pPr>
              <w:spacing w:after="0" w:line="240" w:lineRule="auto"/>
              <w:jc w:val="both"/>
              <w:rPr>
                <w:rFonts w:asciiTheme="minorHAnsi" w:hAnsiTheme="minorHAnsi"/>
              </w:rPr>
            </w:pPr>
          </w:p>
          <w:p w:rsidR="001A238F" w:rsidRPr="001A238F" w:rsidRDefault="001A238F" w:rsidP="00D56106">
            <w:pPr>
              <w:spacing w:after="0" w:line="240" w:lineRule="auto"/>
              <w:jc w:val="both"/>
              <w:rPr>
                <w:rFonts w:asciiTheme="minorHAnsi" w:hAnsiTheme="minorHAnsi"/>
              </w:rPr>
            </w:pPr>
            <w:r w:rsidRPr="001A238F">
              <w:rPr>
                <w:rFonts w:asciiTheme="minorHAnsi" w:hAnsiTheme="minorHAnsi"/>
              </w:rPr>
              <w:t xml:space="preserve">Three </w:t>
            </w:r>
            <w:r>
              <w:rPr>
                <w:rFonts w:asciiTheme="minorHAnsi" w:hAnsiTheme="minorHAnsi"/>
              </w:rPr>
              <w:t>definitions</w:t>
            </w:r>
            <w:r w:rsidRPr="001A238F">
              <w:rPr>
                <w:rFonts w:asciiTheme="minorHAnsi" w:hAnsiTheme="minorHAnsi"/>
              </w:rPr>
              <w:t xml:space="preserve"> have been defined and agreed between DEVCO and International Financial Institutions in order to measure the degree of leverage:</w:t>
            </w:r>
          </w:p>
          <w:p w:rsidR="001A238F" w:rsidRPr="001A238F" w:rsidRDefault="001A238F" w:rsidP="00D56106">
            <w:pPr>
              <w:spacing w:after="0" w:line="240" w:lineRule="auto"/>
              <w:jc w:val="both"/>
              <w:rPr>
                <w:rFonts w:asciiTheme="minorHAnsi" w:hAnsiTheme="minorHAnsi"/>
              </w:rPr>
            </w:pPr>
          </w:p>
          <w:p w:rsidR="001A238F" w:rsidRPr="001A238F" w:rsidRDefault="001A238F" w:rsidP="001A238F">
            <w:pPr>
              <w:jc w:val="both"/>
              <w:rPr>
                <w:rFonts w:asciiTheme="minorHAnsi" w:hAnsiTheme="minorHAnsi"/>
              </w:rPr>
            </w:pPr>
            <w:r w:rsidRPr="001A238F">
              <w:rPr>
                <w:rFonts w:asciiTheme="minorHAnsi" w:hAnsiTheme="minorHAnsi"/>
              </w:rPr>
              <w:t xml:space="preserve">1) </w:t>
            </w:r>
            <w:r w:rsidRPr="001A238F">
              <w:rPr>
                <w:rFonts w:asciiTheme="minorHAnsi" w:hAnsiTheme="minorHAnsi"/>
                <w:b/>
                <w:bCs/>
              </w:rPr>
              <w:t>Investment leverage ratio</w:t>
            </w:r>
            <w:r w:rsidRPr="001A238F">
              <w:rPr>
                <w:rFonts w:asciiTheme="minorHAnsi" w:hAnsiTheme="minorHAnsi"/>
              </w:rPr>
              <w:t xml:space="preserve"> = value of investment (total project cost) divided by total amount of EU blending facility grant(s) relating to this investment.</w:t>
            </w:r>
          </w:p>
          <w:p w:rsidR="001A238F" w:rsidRPr="001A238F" w:rsidRDefault="001A238F" w:rsidP="001A238F">
            <w:pPr>
              <w:jc w:val="both"/>
              <w:rPr>
                <w:rFonts w:asciiTheme="minorHAnsi" w:hAnsiTheme="minorHAnsi"/>
              </w:rPr>
            </w:pPr>
            <w:r w:rsidRPr="001A238F">
              <w:rPr>
                <w:rFonts w:asciiTheme="minorHAnsi" w:hAnsiTheme="minorHAnsi"/>
              </w:rPr>
              <w:t xml:space="preserve">2) </w:t>
            </w:r>
            <w:r w:rsidRPr="001A238F">
              <w:rPr>
                <w:rFonts w:asciiTheme="minorHAnsi" w:hAnsiTheme="minorHAnsi"/>
                <w:b/>
                <w:bCs/>
              </w:rPr>
              <w:t>Total eligible Financial Institution leverage ratio</w:t>
            </w:r>
            <w:r w:rsidRPr="001A238F">
              <w:rPr>
                <w:rFonts w:asciiTheme="minorHAnsi" w:hAnsiTheme="minorHAnsi"/>
              </w:rPr>
              <w:t xml:space="preserve"> = amount of eligible Financial Institution financing divided by total amount of EU blending facility grant(s) relating to this investment. Eligible Financial Institution financing can come in the form of non-concessional, concessional or grant funding.</w:t>
            </w:r>
          </w:p>
          <w:p w:rsidR="001A238F" w:rsidRPr="001A238F" w:rsidRDefault="001A238F" w:rsidP="001A238F">
            <w:pPr>
              <w:jc w:val="both"/>
              <w:rPr>
                <w:rFonts w:asciiTheme="minorHAnsi" w:hAnsiTheme="minorHAnsi"/>
              </w:rPr>
            </w:pPr>
            <w:r w:rsidRPr="001A238F">
              <w:rPr>
                <w:rFonts w:asciiTheme="minorHAnsi" w:hAnsiTheme="minorHAnsi"/>
              </w:rPr>
              <w:t xml:space="preserve">3) </w:t>
            </w:r>
            <w:r w:rsidRPr="001A238F">
              <w:rPr>
                <w:rFonts w:asciiTheme="minorHAnsi" w:hAnsiTheme="minorHAnsi"/>
                <w:b/>
                <w:bCs/>
              </w:rPr>
              <w:t>Private loans/equity leverage ratio</w:t>
            </w:r>
            <w:r w:rsidRPr="001A238F">
              <w:rPr>
                <w:rFonts w:asciiTheme="minorHAnsi" w:hAnsiTheme="minorHAnsi"/>
              </w:rPr>
              <w:t xml:space="preserve"> = amount of private sector (non-grant) financing mobilised as a financial input into the investment project divided by amount of EU blending facility grant(s)</w:t>
            </w:r>
          </w:p>
          <w:p w:rsidR="00D56106" w:rsidRPr="001A238F" w:rsidRDefault="00D56106" w:rsidP="006B57B8">
            <w:pPr>
              <w:autoSpaceDE w:val="0"/>
              <w:autoSpaceDN w:val="0"/>
              <w:adjustRightInd w:val="0"/>
              <w:spacing w:after="0" w:line="240" w:lineRule="auto"/>
              <w:rPr>
                <w:rFonts w:asciiTheme="minorHAnsi" w:hAnsiTheme="minorHAnsi" w:cs="Arial"/>
                <w:lang w:eastAsia="en-GB"/>
              </w:rPr>
            </w:pPr>
          </w:p>
        </w:tc>
      </w:tr>
      <w:tr w:rsidR="0035073D" w:rsidRPr="001A238F" w:rsidTr="0035073D">
        <w:tc>
          <w:tcPr>
            <w:tcW w:w="0" w:type="auto"/>
            <w:tcBorders>
              <w:bottom w:val="single" w:sz="4" w:space="0" w:color="auto"/>
            </w:tcBorders>
            <w:shd w:val="clear" w:color="auto" w:fill="auto"/>
            <w:vAlign w:val="bottom"/>
          </w:tcPr>
          <w:p w:rsidR="00322F21" w:rsidRPr="001A238F" w:rsidRDefault="00322F21">
            <w:pPr>
              <w:rPr>
                <w:rFonts w:asciiTheme="minorHAnsi" w:hAnsiTheme="minorHAnsi"/>
                <w:color w:val="000000"/>
              </w:rPr>
            </w:pPr>
          </w:p>
        </w:tc>
        <w:tc>
          <w:tcPr>
            <w:tcW w:w="0" w:type="auto"/>
            <w:tcBorders>
              <w:bottom w:val="single" w:sz="4" w:space="0" w:color="auto"/>
            </w:tcBorders>
            <w:shd w:val="clear" w:color="auto" w:fill="auto"/>
          </w:tcPr>
          <w:p w:rsidR="00322F21" w:rsidRPr="001A238F" w:rsidRDefault="00322F21">
            <w:pPr>
              <w:rPr>
                <w:rFonts w:asciiTheme="minorHAnsi" w:hAnsiTheme="minorHAnsi"/>
              </w:rPr>
            </w:pPr>
          </w:p>
        </w:tc>
      </w:tr>
      <w:tr w:rsidR="0035073D" w:rsidRPr="001A238F" w:rsidTr="0035073D">
        <w:trPr>
          <w:trHeight w:val="3110"/>
        </w:trPr>
        <w:tc>
          <w:tcPr>
            <w:tcW w:w="0" w:type="auto"/>
            <w:shd w:val="pct10" w:color="auto" w:fill="auto"/>
          </w:tcPr>
          <w:p w:rsidR="00322F21" w:rsidRPr="001A238F" w:rsidRDefault="001E5416" w:rsidP="000A07C0">
            <w:pPr>
              <w:ind w:right="-255"/>
              <w:rPr>
                <w:rFonts w:asciiTheme="minorHAnsi" w:hAnsiTheme="minorHAnsi"/>
                <w:color w:val="000000"/>
              </w:rPr>
            </w:pPr>
            <w:r>
              <w:rPr>
                <w:rFonts w:asciiTheme="minorHAnsi" w:hAnsiTheme="minorHAnsi"/>
                <w:color w:val="000000"/>
              </w:rPr>
              <w:t>3</w:t>
            </w:r>
            <w:r w:rsidR="00322F21" w:rsidRPr="001A238F">
              <w:rPr>
                <w:rFonts w:asciiTheme="minorHAnsi" w:hAnsiTheme="minorHAnsi"/>
                <w:color w:val="000000"/>
              </w:rPr>
              <w:t xml:space="preserve">. Rationale </w:t>
            </w:r>
          </w:p>
        </w:tc>
        <w:tc>
          <w:tcPr>
            <w:tcW w:w="0" w:type="auto"/>
            <w:shd w:val="pct10" w:color="auto" w:fill="auto"/>
          </w:tcPr>
          <w:p w:rsidR="00E3094B" w:rsidRDefault="00E3094B" w:rsidP="00E3094B">
            <w:pPr>
              <w:jc w:val="both"/>
            </w:pPr>
            <w:r w:rsidRPr="005F1D89">
              <w:t xml:space="preserve">Investment needs in EU partner countries are substantial. Government and donor funds are far from sufficient to cover these needs. Countries need to tap into capital markets and attract private investment if they want to achieve investment rates that can drive economic growth as a basis for poverty reduction. The Agenda for Change puts the support of inclusive growth and job creation as a key priority of EU external cooperation. In this context </w:t>
            </w:r>
            <w:r>
              <w:t xml:space="preserve">the Agenda recognises blending </w:t>
            </w:r>
            <w:r w:rsidRPr="005F1D89">
              <w:t>as an important vehicle for leveraging additional resources and increasing the impact of EU aid.</w:t>
            </w:r>
          </w:p>
          <w:p w:rsidR="00B34315" w:rsidRPr="001A238F" w:rsidRDefault="00B34315" w:rsidP="00E3094B">
            <w:pPr>
              <w:jc w:val="both"/>
              <w:rPr>
                <w:rFonts w:asciiTheme="minorHAnsi" w:hAnsiTheme="minorHAnsi"/>
                <w:b/>
              </w:rPr>
            </w:pPr>
          </w:p>
        </w:tc>
      </w:tr>
      <w:tr w:rsidR="0035073D" w:rsidRPr="001A238F" w:rsidTr="0035073D">
        <w:trPr>
          <w:trHeight w:val="494"/>
        </w:trPr>
        <w:tc>
          <w:tcPr>
            <w:tcW w:w="0" w:type="auto"/>
            <w:shd w:val="clear" w:color="auto" w:fill="auto"/>
          </w:tcPr>
          <w:p w:rsidR="0035073D" w:rsidRPr="001A238F" w:rsidRDefault="0035073D" w:rsidP="000A07C0">
            <w:pPr>
              <w:ind w:right="-255"/>
              <w:rPr>
                <w:rFonts w:asciiTheme="minorHAnsi" w:hAnsiTheme="minorHAnsi"/>
                <w:color w:val="000000"/>
              </w:rPr>
            </w:pPr>
          </w:p>
        </w:tc>
        <w:tc>
          <w:tcPr>
            <w:tcW w:w="0" w:type="auto"/>
            <w:shd w:val="clear" w:color="auto" w:fill="auto"/>
          </w:tcPr>
          <w:p w:rsidR="0035073D" w:rsidRPr="001A238F" w:rsidRDefault="0035073D" w:rsidP="007A7A76">
            <w:pPr>
              <w:jc w:val="both"/>
              <w:rPr>
                <w:rFonts w:asciiTheme="minorHAnsi" w:hAnsiTheme="minorHAnsi"/>
                <w:i/>
              </w:rPr>
            </w:pPr>
          </w:p>
        </w:tc>
      </w:tr>
      <w:tr w:rsidR="0035073D" w:rsidRPr="001A238F" w:rsidTr="00FA394F">
        <w:trPr>
          <w:trHeight w:val="494"/>
        </w:trPr>
        <w:tc>
          <w:tcPr>
            <w:tcW w:w="0" w:type="auto"/>
            <w:shd w:val="pct10" w:color="auto" w:fill="auto"/>
          </w:tcPr>
          <w:p w:rsidR="0035073D" w:rsidRPr="001A238F" w:rsidRDefault="001E5416" w:rsidP="009302BB">
            <w:pPr>
              <w:rPr>
                <w:rFonts w:asciiTheme="minorHAnsi" w:hAnsiTheme="minorHAnsi"/>
                <w:color w:val="000000"/>
              </w:rPr>
            </w:pPr>
            <w:r>
              <w:rPr>
                <w:rFonts w:asciiTheme="minorHAnsi" w:hAnsiTheme="minorHAnsi"/>
                <w:color w:val="000000"/>
              </w:rPr>
              <w:t>4</w:t>
            </w:r>
            <w:r w:rsidR="0035073D" w:rsidRPr="001A238F">
              <w:rPr>
                <w:rFonts w:asciiTheme="minorHAnsi" w:hAnsiTheme="minorHAnsi"/>
                <w:color w:val="000000"/>
              </w:rPr>
              <w:t xml:space="preserve">. Data calculation </w:t>
            </w:r>
          </w:p>
        </w:tc>
        <w:tc>
          <w:tcPr>
            <w:tcW w:w="0" w:type="auto"/>
            <w:shd w:val="clear" w:color="auto" w:fill="D9D9D9" w:themeFill="background1" w:themeFillShade="D9"/>
          </w:tcPr>
          <w:p w:rsidR="00F22C01" w:rsidRPr="001A238F" w:rsidRDefault="00F22C01" w:rsidP="00F22C01">
            <w:pPr>
              <w:jc w:val="both"/>
              <w:rPr>
                <w:rFonts w:asciiTheme="minorHAnsi" w:hAnsiTheme="minorHAnsi"/>
              </w:rPr>
            </w:pPr>
            <w:r w:rsidRPr="001A238F">
              <w:rPr>
                <w:rFonts w:asciiTheme="minorHAnsi" w:hAnsiTheme="minorHAnsi"/>
              </w:rPr>
              <w:t xml:space="preserve">Three different standard leverage indicators are to be </w:t>
            </w:r>
            <w:r w:rsidR="001A238F" w:rsidRPr="001A238F">
              <w:rPr>
                <w:rFonts w:asciiTheme="minorHAnsi" w:hAnsiTheme="minorHAnsi"/>
              </w:rPr>
              <w:t>calculated following the methodology highlighted below (all expressed in millions EUR)</w:t>
            </w:r>
            <w:r w:rsidRPr="001A238F">
              <w:rPr>
                <w:rFonts w:asciiTheme="minorHAnsi" w:hAnsiTheme="minorHAnsi"/>
              </w:rPr>
              <w:t>:</w:t>
            </w:r>
          </w:p>
          <w:p w:rsidR="00F22C01" w:rsidRPr="001A238F" w:rsidRDefault="00F22C01" w:rsidP="00F22C01">
            <w:pPr>
              <w:jc w:val="both"/>
              <w:rPr>
                <w:rFonts w:asciiTheme="minorHAnsi" w:hAnsiTheme="minorHAnsi"/>
              </w:rPr>
            </w:pPr>
            <w:r w:rsidRPr="001A238F">
              <w:rPr>
                <w:rFonts w:asciiTheme="minorHAnsi" w:hAnsiTheme="minorHAnsi"/>
              </w:rPr>
              <w:t xml:space="preserve">1) </w:t>
            </w:r>
            <w:r w:rsidRPr="001A238F">
              <w:rPr>
                <w:rFonts w:asciiTheme="minorHAnsi" w:hAnsiTheme="minorHAnsi"/>
                <w:b/>
                <w:bCs/>
              </w:rPr>
              <w:t>Investment leverage ratio</w:t>
            </w:r>
            <w:r w:rsidRPr="001A238F">
              <w:rPr>
                <w:rFonts w:asciiTheme="minorHAnsi" w:hAnsiTheme="minorHAnsi"/>
              </w:rPr>
              <w:t xml:space="preserve"> = value of investment (total project cost) divided by total amount of EU blending facility grant(s) relating to this investment.</w:t>
            </w:r>
          </w:p>
          <w:p w:rsidR="00F22C01" w:rsidRPr="001A238F" w:rsidRDefault="00F22C01" w:rsidP="00F22C01">
            <w:pPr>
              <w:jc w:val="both"/>
              <w:rPr>
                <w:rFonts w:asciiTheme="minorHAnsi" w:hAnsiTheme="minorHAnsi"/>
              </w:rPr>
            </w:pPr>
            <w:r w:rsidRPr="001A238F">
              <w:rPr>
                <w:rFonts w:asciiTheme="minorHAnsi" w:hAnsiTheme="minorHAnsi"/>
              </w:rPr>
              <w:t xml:space="preserve">2) </w:t>
            </w:r>
            <w:r w:rsidRPr="001A238F">
              <w:rPr>
                <w:rFonts w:asciiTheme="minorHAnsi" w:hAnsiTheme="minorHAnsi"/>
                <w:b/>
                <w:bCs/>
              </w:rPr>
              <w:t>Total eligible Financial Institution leverage ratio</w:t>
            </w:r>
            <w:r w:rsidRPr="001A238F">
              <w:rPr>
                <w:rFonts w:asciiTheme="minorHAnsi" w:hAnsiTheme="minorHAnsi"/>
              </w:rPr>
              <w:t xml:space="preserve"> = amount of eligible Financial </w:t>
            </w:r>
            <w:r w:rsidRPr="001A238F">
              <w:rPr>
                <w:rFonts w:asciiTheme="minorHAnsi" w:hAnsiTheme="minorHAnsi"/>
              </w:rPr>
              <w:lastRenderedPageBreak/>
              <w:t>Institution financing divided by total amount of EU blending facility grant(</w:t>
            </w:r>
            <w:r w:rsidR="001A238F" w:rsidRPr="001A238F">
              <w:rPr>
                <w:rFonts w:asciiTheme="minorHAnsi" w:hAnsiTheme="minorHAnsi"/>
              </w:rPr>
              <w:t>s) relating to this investment.</w:t>
            </w:r>
            <w:r w:rsidRPr="001A238F">
              <w:rPr>
                <w:rFonts w:asciiTheme="minorHAnsi" w:hAnsiTheme="minorHAnsi"/>
              </w:rPr>
              <w:t xml:space="preserve"> Eligible Financial Institution financing can come in the form of non-concessional, concessional or grant funding.</w:t>
            </w:r>
          </w:p>
          <w:p w:rsidR="00F22C01" w:rsidRPr="001A238F" w:rsidRDefault="00F22C01" w:rsidP="00F22C01">
            <w:pPr>
              <w:jc w:val="both"/>
              <w:rPr>
                <w:rFonts w:asciiTheme="minorHAnsi" w:hAnsiTheme="minorHAnsi"/>
              </w:rPr>
            </w:pPr>
            <w:r w:rsidRPr="001A238F">
              <w:rPr>
                <w:rFonts w:asciiTheme="minorHAnsi" w:hAnsiTheme="minorHAnsi"/>
              </w:rPr>
              <w:t xml:space="preserve">3) </w:t>
            </w:r>
            <w:r w:rsidRPr="001A238F">
              <w:rPr>
                <w:rFonts w:asciiTheme="minorHAnsi" w:hAnsiTheme="minorHAnsi"/>
                <w:b/>
                <w:bCs/>
              </w:rPr>
              <w:t>Private loans/equity leverage ratio</w:t>
            </w:r>
            <w:r w:rsidRPr="001A238F">
              <w:rPr>
                <w:rFonts w:asciiTheme="minorHAnsi" w:hAnsiTheme="minorHAnsi"/>
              </w:rPr>
              <w:t xml:space="preserve"> = amount of private sector (non-grant) financing mobilised as a financial input into the investment project divided by amount of EU blending facility grant(s)</w:t>
            </w:r>
          </w:p>
          <w:p w:rsidR="00F22C01" w:rsidRPr="001A238F" w:rsidRDefault="00F22C01" w:rsidP="00F22C01">
            <w:pPr>
              <w:jc w:val="both"/>
              <w:rPr>
                <w:rFonts w:asciiTheme="minorHAnsi" w:hAnsiTheme="minorHAnsi"/>
                <w:strike/>
                <w:highlight w:val="magenta"/>
              </w:rPr>
            </w:pPr>
            <w:r w:rsidRPr="001A238F">
              <w:rPr>
                <w:rFonts w:asciiTheme="minorHAnsi" w:hAnsiTheme="minorHAnsi"/>
              </w:rPr>
              <w:t xml:space="preserve">The applicant financial institution should provide an ex ante assessment of leverage across these three ratios in the relevant place in the project fiche. These can be updated ex post or as the final value of funds mobilised becomes apparent during the life of the project. </w:t>
            </w:r>
          </w:p>
          <w:p w:rsidR="00F22C01" w:rsidRPr="001A238F" w:rsidRDefault="00F22C01" w:rsidP="00F22C01">
            <w:pPr>
              <w:jc w:val="both"/>
              <w:rPr>
                <w:rFonts w:asciiTheme="minorHAnsi" w:hAnsiTheme="minorHAnsi"/>
              </w:rPr>
            </w:pPr>
            <w:r w:rsidRPr="001A238F">
              <w:rPr>
                <w:rFonts w:asciiTheme="minorHAnsi" w:hAnsiTheme="minorHAnsi"/>
              </w:rPr>
              <w:t>For the purpose of coherent and transparent reporting, only funds that are mobilised as a direct financial input into the investment project phase to which the grant is attached should count towards the ratio – investments expected in future phases of the project should not be counted unless they are committed at the same time as investments in the present phase.  Finance that is provided as a parallel stream of finance but not directly as an input into the proje</w:t>
            </w:r>
            <w:r w:rsidR="001A238F">
              <w:rPr>
                <w:rFonts w:asciiTheme="minorHAnsi" w:hAnsiTheme="minorHAnsi"/>
              </w:rPr>
              <w:t xml:space="preserve">ct should normally </w:t>
            </w:r>
            <w:proofErr w:type="gramStart"/>
            <w:r w:rsidR="001A238F">
              <w:rPr>
                <w:rFonts w:asciiTheme="minorHAnsi" w:hAnsiTheme="minorHAnsi"/>
              </w:rPr>
              <w:t>be</w:t>
            </w:r>
            <w:proofErr w:type="gramEnd"/>
            <w:r w:rsidR="001A238F">
              <w:rPr>
                <w:rFonts w:asciiTheme="minorHAnsi" w:hAnsiTheme="minorHAnsi"/>
              </w:rPr>
              <w:t xml:space="preserve"> excluded.</w:t>
            </w:r>
            <w:r w:rsidRPr="001A238F">
              <w:rPr>
                <w:rFonts w:asciiTheme="minorHAnsi" w:hAnsiTheme="minorHAnsi"/>
              </w:rPr>
              <w:t xml:space="preserve"> Similarly, additional finance that is mobilised as an indirect result of the project (e.g. reflecting a demonstration effect), even if the time lag is short, should not count towards the leverage ratio. However, additional finance that is mobilised as a direct result of the project (e.g. additional funding MSMEs could mobilise as a result of TA provided) could be accounted for as part of indicative investment/project size, as indicated below regarding ‘pre-investment phase TA’</w:t>
            </w:r>
            <w:r w:rsidR="001A238F" w:rsidRPr="001A238F">
              <w:rPr>
                <w:rFonts w:asciiTheme="minorHAnsi" w:hAnsiTheme="minorHAnsi"/>
              </w:rPr>
              <w:t>.</w:t>
            </w:r>
          </w:p>
          <w:p w:rsidR="00F22C01" w:rsidRPr="001A238F" w:rsidRDefault="00F22C01" w:rsidP="00F22C01">
            <w:pPr>
              <w:jc w:val="both"/>
              <w:rPr>
                <w:rFonts w:asciiTheme="minorHAnsi" w:hAnsiTheme="minorHAnsi"/>
              </w:rPr>
            </w:pPr>
            <w:r w:rsidRPr="001A238F">
              <w:rPr>
                <w:rFonts w:asciiTheme="minorHAnsi" w:hAnsiTheme="minorHAnsi"/>
              </w:rPr>
              <w:t xml:space="preserve">In the </w:t>
            </w:r>
            <w:r w:rsidRPr="001A238F">
              <w:rPr>
                <w:rFonts w:asciiTheme="minorHAnsi" w:hAnsiTheme="minorHAnsi"/>
                <w:b/>
                <w:bCs/>
                <w:u w:val="single"/>
              </w:rPr>
              <w:t>case of technical assistance (TA),</w:t>
            </w:r>
            <w:r w:rsidRPr="001A238F">
              <w:rPr>
                <w:rFonts w:asciiTheme="minorHAnsi" w:hAnsiTheme="minorHAnsi"/>
              </w:rPr>
              <w:t xml:space="preserve"> the difference </w:t>
            </w:r>
            <w:r w:rsidRPr="001A238F">
              <w:rPr>
                <w:rFonts w:asciiTheme="minorHAnsi" w:hAnsiTheme="minorHAnsi"/>
                <w:u w:val="single"/>
              </w:rPr>
              <w:t>between pre-investment phase TA and investment phase TA should be taken into account in leverage calculations.</w:t>
            </w:r>
            <w:r w:rsidRPr="001A238F">
              <w:rPr>
                <w:rFonts w:asciiTheme="minorHAnsi" w:hAnsiTheme="minorHAnsi"/>
              </w:rPr>
              <w:t xml:space="preserve">  Pre-investment phase TA comprises projects to enable project identification or preparation as indicated in Section 14, where the precise project size and investment amounts are not yet known.  In these cases, leverage can be calculated using indicative investment/project size (based on estimated amounts of project that could flow from the results of this pre-investment phase). It will be reported only for the purpose of indicating the level of total investments such pre-investment phase TA could contribute to. </w:t>
            </w:r>
            <w:r w:rsidRPr="001A238F">
              <w:rPr>
                <w:rFonts w:asciiTheme="minorHAnsi" w:hAnsiTheme="minorHAnsi"/>
                <w:u w:val="single"/>
              </w:rPr>
              <w:t>Investment phase TA clearly accompanies an investment commitment.</w:t>
            </w:r>
            <w:r w:rsidR="001A238F" w:rsidRPr="001A238F">
              <w:rPr>
                <w:rFonts w:asciiTheme="minorHAnsi" w:hAnsiTheme="minorHAnsi"/>
                <w:u w:val="single"/>
              </w:rPr>
              <w:t xml:space="preserve"> </w:t>
            </w:r>
            <w:r w:rsidRPr="001A238F">
              <w:rPr>
                <w:rFonts w:asciiTheme="minorHAnsi" w:hAnsiTheme="minorHAnsi"/>
              </w:rPr>
              <w:t xml:space="preserve">Leverage for these TA projects can be calculated using the same proposed ratios described above and reported systematically alongside leverage for investment projects.  </w:t>
            </w:r>
          </w:p>
          <w:p w:rsidR="00F22C01" w:rsidRPr="001A238F" w:rsidRDefault="001A238F" w:rsidP="00F22C01">
            <w:pPr>
              <w:rPr>
                <w:rFonts w:asciiTheme="minorHAnsi" w:hAnsiTheme="minorHAnsi"/>
                <w:color w:val="1F497D"/>
              </w:rPr>
            </w:pPr>
            <w:r>
              <w:rPr>
                <w:rFonts w:asciiTheme="minorHAnsi" w:hAnsiTheme="minorHAnsi"/>
              </w:rPr>
              <w:t>NOTE:</w:t>
            </w:r>
            <w:r w:rsidR="00F22C01" w:rsidRPr="001A238F">
              <w:rPr>
                <w:rFonts w:asciiTheme="minorHAnsi" w:hAnsiTheme="minorHAnsi"/>
              </w:rPr>
              <w:t xml:space="preserve"> With regards to the denominator in the proposed ratios, the amount of EU grants from the blending facility should include also the pre-investment phase TA if it has led to concrete investment(s) supported by the Facility</w:t>
            </w:r>
          </w:p>
          <w:p w:rsidR="001A238F" w:rsidRPr="001A238F" w:rsidRDefault="001A238F" w:rsidP="001A238F">
            <w:pPr>
              <w:spacing w:after="0" w:line="240" w:lineRule="auto"/>
              <w:jc w:val="both"/>
              <w:rPr>
                <w:rFonts w:asciiTheme="minorHAnsi" w:hAnsiTheme="minorHAnsi"/>
              </w:rPr>
            </w:pPr>
            <w:r w:rsidRPr="001A238F">
              <w:rPr>
                <w:rFonts w:asciiTheme="minorHAnsi" w:hAnsiTheme="minorHAnsi"/>
              </w:rPr>
              <w:t>C</w:t>
            </w:r>
            <w:r>
              <w:rPr>
                <w:rFonts w:asciiTheme="minorHAnsi" w:hAnsiTheme="minorHAnsi"/>
              </w:rPr>
              <w:t>3</w:t>
            </w:r>
            <w:r w:rsidRPr="001A238F">
              <w:rPr>
                <w:rFonts w:asciiTheme="minorHAnsi" w:hAnsiTheme="minorHAnsi"/>
              </w:rPr>
              <w:t xml:space="preserve"> will be in charge of implementing the methodology on a yearly basis and report figures to DEVCO 06 for inclusion in the EU Results Framework (Level 3).</w:t>
            </w:r>
          </w:p>
          <w:p w:rsidR="006E63B1" w:rsidRPr="001A238F" w:rsidRDefault="006E63B1" w:rsidP="009936B6">
            <w:pPr>
              <w:spacing w:after="0" w:line="240" w:lineRule="auto"/>
              <w:jc w:val="both"/>
              <w:rPr>
                <w:rFonts w:asciiTheme="minorHAnsi" w:hAnsiTheme="minorHAnsi"/>
              </w:rPr>
            </w:pPr>
          </w:p>
        </w:tc>
      </w:tr>
      <w:tr w:rsidR="0061698A" w:rsidRPr="001A238F" w:rsidTr="0061698A">
        <w:trPr>
          <w:trHeight w:val="494"/>
        </w:trPr>
        <w:tc>
          <w:tcPr>
            <w:tcW w:w="0" w:type="auto"/>
            <w:shd w:val="clear" w:color="auto" w:fill="FFFFFF" w:themeFill="background1"/>
          </w:tcPr>
          <w:p w:rsidR="0061698A" w:rsidRPr="001A238F" w:rsidRDefault="0061698A" w:rsidP="009302BB">
            <w:pPr>
              <w:rPr>
                <w:rFonts w:asciiTheme="minorHAnsi" w:hAnsiTheme="minorHAnsi"/>
                <w:color w:val="000000"/>
              </w:rPr>
            </w:pPr>
          </w:p>
        </w:tc>
        <w:tc>
          <w:tcPr>
            <w:tcW w:w="0" w:type="auto"/>
            <w:shd w:val="clear" w:color="auto" w:fill="FFFFFF" w:themeFill="background1"/>
          </w:tcPr>
          <w:p w:rsidR="0061698A" w:rsidRPr="001A238F" w:rsidRDefault="0061698A" w:rsidP="00220582">
            <w:pPr>
              <w:spacing w:after="0" w:line="240" w:lineRule="auto"/>
              <w:jc w:val="both"/>
              <w:rPr>
                <w:rFonts w:asciiTheme="minorHAnsi" w:hAnsiTheme="minorHAnsi"/>
              </w:rPr>
            </w:pPr>
          </w:p>
        </w:tc>
      </w:tr>
      <w:tr w:rsidR="0061698A" w:rsidRPr="001A238F" w:rsidTr="00FA394F">
        <w:trPr>
          <w:trHeight w:val="494"/>
        </w:trPr>
        <w:tc>
          <w:tcPr>
            <w:tcW w:w="0" w:type="auto"/>
            <w:shd w:val="pct10" w:color="auto" w:fill="auto"/>
          </w:tcPr>
          <w:p w:rsidR="0061698A" w:rsidRPr="001A238F" w:rsidRDefault="001E5416">
            <w:pPr>
              <w:rPr>
                <w:rFonts w:asciiTheme="minorHAnsi" w:hAnsiTheme="minorHAnsi"/>
                <w:color w:val="000000"/>
                <w:lang w:val="fr-FR"/>
              </w:rPr>
            </w:pPr>
            <w:r>
              <w:rPr>
                <w:rFonts w:asciiTheme="minorHAnsi" w:hAnsiTheme="minorHAnsi"/>
                <w:color w:val="000000"/>
                <w:lang w:val="fr-FR"/>
              </w:rPr>
              <w:t>5</w:t>
            </w:r>
            <w:r w:rsidR="0061698A" w:rsidRPr="001A238F">
              <w:rPr>
                <w:rFonts w:asciiTheme="minorHAnsi" w:hAnsiTheme="minorHAnsi"/>
                <w:color w:val="000000"/>
                <w:lang w:val="fr-FR"/>
              </w:rPr>
              <w:t xml:space="preserve">. </w:t>
            </w:r>
            <w:proofErr w:type="spellStart"/>
            <w:r w:rsidR="0061698A" w:rsidRPr="001A238F">
              <w:rPr>
                <w:rFonts w:asciiTheme="minorHAnsi" w:hAnsiTheme="minorHAnsi"/>
                <w:color w:val="000000"/>
                <w:lang w:val="fr-FR"/>
              </w:rPr>
              <w:t>Level</w:t>
            </w:r>
            <w:proofErr w:type="spellEnd"/>
            <w:r w:rsidR="0061698A" w:rsidRPr="001A238F">
              <w:rPr>
                <w:rFonts w:asciiTheme="minorHAnsi" w:hAnsiTheme="minorHAnsi"/>
                <w:color w:val="000000"/>
                <w:lang w:val="fr-FR"/>
              </w:rPr>
              <w:t xml:space="preserve"> of </w:t>
            </w:r>
            <w:proofErr w:type="spellStart"/>
            <w:r w:rsidR="0061698A" w:rsidRPr="001A238F">
              <w:rPr>
                <w:rFonts w:asciiTheme="minorHAnsi" w:hAnsiTheme="minorHAnsi"/>
                <w:color w:val="000000"/>
                <w:lang w:val="fr-FR"/>
              </w:rPr>
              <w:t>disaggregation</w:t>
            </w:r>
            <w:proofErr w:type="spellEnd"/>
          </w:p>
        </w:tc>
        <w:tc>
          <w:tcPr>
            <w:tcW w:w="0" w:type="auto"/>
            <w:shd w:val="clear" w:color="auto" w:fill="D9D9D9" w:themeFill="background1" w:themeFillShade="D9"/>
          </w:tcPr>
          <w:p w:rsidR="0061698A" w:rsidRPr="001A238F" w:rsidRDefault="0061698A" w:rsidP="00E3094B">
            <w:pPr>
              <w:spacing w:after="0" w:line="240" w:lineRule="auto"/>
              <w:jc w:val="both"/>
              <w:rPr>
                <w:rFonts w:asciiTheme="minorHAnsi" w:hAnsiTheme="minorHAnsi"/>
              </w:rPr>
            </w:pPr>
            <w:r w:rsidRPr="001A238F">
              <w:rPr>
                <w:rFonts w:asciiTheme="minorHAnsi" w:hAnsiTheme="minorHAnsi"/>
              </w:rPr>
              <w:t xml:space="preserve">The </w:t>
            </w:r>
            <w:r w:rsidR="001A238F" w:rsidRPr="001A238F">
              <w:rPr>
                <w:rFonts w:asciiTheme="minorHAnsi" w:hAnsiTheme="minorHAnsi"/>
              </w:rPr>
              <w:t>three leverage indicators</w:t>
            </w:r>
            <w:r w:rsidRPr="001A238F">
              <w:rPr>
                <w:rFonts w:asciiTheme="minorHAnsi" w:hAnsiTheme="minorHAnsi"/>
              </w:rPr>
              <w:t xml:space="preserve"> will be disaggregated by </w:t>
            </w:r>
            <w:r w:rsidR="00E3094B">
              <w:rPr>
                <w:rFonts w:asciiTheme="minorHAnsi" w:hAnsiTheme="minorHAnsi"/>
              </w:rPr>
              <w:t xml:space="preserve">project, region, and where possible </w:t>
            </w:r>
            <w:r w:rsidRPr="001A238F">
              <w:rPr>
                <w:rFonts w:asciiTheme="minorHAnsi" w:hAnsiTheme="minorHAnsi"/>
              </w:rPr>
              <w:t>country</w:t>
            </w:r>
            <w:r w:rsidR="001A238F" w:rsidRPr="001A238F">
              <w:rPr>
                <w:rFonts w:asciiTheme="minorHAnsi" w:hAnsiTheme="minorHAnsi"/>
              </w:rPr>
              <w:t>.</w:t>
            </w:r>
          </w:p>
        </w:tc>
      </w:tr>
      <w:tr w:rsidR="0035073D" w:rsidRPr="001A238F" w:rsidTr="0035073D">
        <w:trPr>
          <w:trHeight w:val="494"/>
        </w:trPr>
        <w:tc>
          <w:tcPr>
            <w:tcW w:w="0" w:type="auto"/>
            <w:shd w:val="clear" w:color="auto" w:fill="auto"/>
          </w:tcPr>
          <w:p w:rsidR="0035073D" w:rsidRPr="001A238F" w:rsidRDefault="0035073D" w:rsidP="000A07C0">
            <w:pPr>
              <w:ind w:right="-255"/>
              <w:rPr>
                <w:rFonts w:asciiTheme="minorHAnsi" w:hAnsiTheme="minorHAnsi"/>
                <w:color w:val="000000"/>
              </w:rPr>
            </w:pPr>
          </w:p>
        </w:tc>
        <w:tc>
          <w:tcPr>
            <w:tcW w:w="0" w:type="auto"/>
            <w:shd w:val="clear" w:color="auto" w:fill="auto"/>
          </w:tcPr>
          <w:p w:rsidR="0035073D" w:rsidRPr="001A238F" w:rsidRDefault="0035073D" w:rsidP="007A7A76">
            <w:pPr>
              <w:jc w:val="both"/>
              <w:rPr>
                <w:rFonts w:asciiTheme="minorHAnsi" w:hAnsiTheme="minorHAnsi"/>
                <w:i/>
              </w:rPr>
            </w:pPr>
          </w:p>
        </w:tc>
      </w:tr>
      <w:tr w:rsidR="0035073D" w:rsidRPr="001A238F" w:rsidTr="0035073D">
        <w:tc>
          <w:tcPr>
            <w:tcW w:w="202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35073D" w:rsidRPr="001A238F" w:rsidRDefault="001E5416">
            <w:pPr>
              <w:rPr>
                <w:rFonts w:asciiTheme="minorHAnsi" w:hAnsiTheme="minorHAnsi"/>
                <w:color w:val="000000"/>
              </w:rPr>
            </w:pPr>
            <w:r>
              <w:rPr>
                <w:rFonts w:asciiTheme="minorHAnsi" w:hAnsiTheme="minorHAnsi"/>
                <w:color w:val="000000"/>
              </w:rPr>
              <w:t>6</w:t>
            </w:r>
            <w:r w:rsidR="0035073D" w:rsidRPr="001A238F">
              <w:rPr>
                <w:rFonts w:asciiTheme="minorHAnsi" w:hAnsiTheme="minorHAnsi"/>
                <w:color w:val="000000"/>
              </w:rPr>
              <w:t xml:space="preserve">. Is it used by another organization or in the framework of international initiatives, conventions, </w:t>
            </w:r>
            <w:proofErr w:type="spellStart"/>
            <w:r w:rsidR="0035073D" w:rsidRPr="001A238F">
              <w:rPr>
                <w:rFonts w:asciiTheme="minorHAnsi" w:hAnsiTheme="minorHAnsi"/>
                <w:color w:val="000000"/>
              </w:rPr>
              <w:t>etc</w:t>
            </w:r>
            <w:proofErr w:type="spellEnd"/>
            <w:r w:rsidR="0035073D" w:rsidRPr="001A238F">
              <w:rPr>
                <w:rFonts w:asciiTheme="minorHAnsi" w:hAnsiTheme="minorHAnsi"/>
                <w:color w:val="000000"/>
              </w:rPr>
              <w:t>? If so, which?</w:t>
            </w:r>
          </w:p>
        </w:tc>
        <w:tc>
          <w:tcPr>
            <w:tcW w:w="7478" w:type="dxa"/>
            <w:tcBorders>
              <w:top w:val="single" w:sz="4" w:space="0" w:color="auto"/>
              <w:left w:val="single" w:sz="4" w:space="0" w:color="auto"/>
              <w:bottom w:val="single" w:sz="4" w:space="0" w:color="auto"/>
              <w:right w:val="single" w:sz="4" w:space="0" w:color="auto"/>
            </w:tcBorders>
            <w:shd w:val="pct10" w:color="auto" w:fill="auto"/>
          </w:tcPr>
          <w:p w:rsidR="0035073D" w:rsidRPr="001A238F" w:rsidRDefault="00E3094B" w:rsidP="00E3094B">
            <w:pPr>
              <w:rPr>
                <w:rFonts w:asciiTheme="minorHAnsi" w:hAnsiTheme="minorHAnsi"/>
              </w:rPr>
            </w:pPr>
            <w:bookmarkStart w:id="0" w:name="_GoBack"/>
            <w:r w:rsidRPr="00BD0E76">
              <w:rPr>
                <w:rFonts w:asciiTheme="minorHAnsi" w:hAnsiTheme="minorHAnsi"/>
              </w:rPr>
              <w:t>Discussions are on-going at DAC level in the context of the ODA modernization on measurement of among others, private sector leveraged finance. DEVCO is contributing and following up the discussions.</w:t>
            </w:r>
            <w:r>
              <w:rPr>
                <w:rFonts w:asciiTheme="minorHAnsi" w:hAnsiTheme="minorHAnsi"/>
                <w:i/>
              </w:rPr>
              <w:t xml:space="preserve"> </w:t>
            </w:r>
            <w:bookmarkEnd w:id="0"/>
          </w:p>
        </w:tc>
      </w:tr>
      <w:tr w:rsidR="0035073D" w:rsidRPr="001A238F" w:rsidTr="0035073D">
        <w:tc>
          <w:tcPr>
            <w:tcW w:w="0" w:type="auto"/>
            <w:tcBorders>
              <w:bottom w:val="single" w:sz="4" w:space="0" w:color="auto"/>
            </w:tcBorders>
            <w:shd w:val="clear" w:color="auto" w:fill="auto"/>
            <w:vAlign w:val="bottom"/>
          </w:tcPr>
          <w:p w:rsidR="0035073D" w:rsidRPr="001A238F" w:rsidRDefault="0035073D">
            <w:pPr>
              <w:rPr>
                <w:rFonts w:asciiTheme="minorHAnsi" w:hAnsiTheme="minorHAnsi"/>
                <w:color w:val="000000"/>
              </w:rPr>
            </w:pPr>
          </w:p>
        </w:tc>
        <w:tc>
          <w:tcPr>
            <w:tcW w:w="0" w:type="auto"/>
            <w:tcBorders>
              <w:bottom w:val="single" w:sz="4" w:space="0" w:color="auto"/>
            </w:tcBorders>
            <w:shd w:val="clear" w:color="auto" w:fill="auto"/>
          </w:tcPr>
          <w:p w:rsidR="0035073D" w:rsidRPr="001A238F" w:rsidRDefault="0035073D" w:rsidP="000C3EAE">
            <w:pPr>
              <w:jc w:val="both"/>
              <w:rPr>
                <w:rFonts w:asciiTheme="minorHAnsi" w:hAnsiTheme="minorHAnsi"/>
              </w:rPr>
            </w:pPr>
          </w:p>
        </w:tc>
      </w:tr>
      <w:tr w:rsidR="0035073D" w:rsidRPr="001A238F" w:rsidTr="0035073D">
        <w:tc>
          <w:tcPr>
            <w:tcW w:w="0" w:type="auto"/>
            <w:shd w:val="pct10" w:color="auto" w:fill="auto"/>
          </w:tcPr>
          <w:p w:rsidR="0035073D" w:rsidRPr="001A238F" w:rsidRDefault="001E5416" w:rsidP="00631D80">
            <w:pPr>
              <w:rPr>
                <w:rFonts w:asciiTheme="minorHAnsi" w:hAnsiTheme="minorHAnsi"/>
                <w:color w:val="000000"/>
              </w:rPr>
            </w:pPr>
            <w:r>
              <w:rPr>
                <w:rFonts w:asciiTheme="minorHAnsi" w:hAnsiTheme="minorHAnsi"/>
                <w:color w:val="000000"/>
              </w:rPr>
              <w:t>7</w:t>
            </w:r>
            <w:r w:rsidR="0035073D" w:rsidRPr="001A238F">
              <w:rPr>
                <w:rFonts w:asciiTheme="minorHAnsi" w:hAnsiTheme="minorHAnsi"/>
                <w:color w:val="000000"/>
              </w:rPr>
              <w:t>.</w:t>
            </w:r>
            <w:r w:rsidR="0061698A" w:rsidRPr="001A238F">
              <w:rPr>
                <w:rFonts w:asciiTheme="minorHAnsi" w:hAnsiTheme="minorHAnsi"/>
                <w:color w:val="000000"/>
              </w:rPr>
              <w:t xml:space="preserve"> </w:t>
            </w:r>
            <w:r w:rsidR="0035073D" w:rsidRPr="001A238F">
              <w:rPr>
                <w:rFonts w:asciiTheme="minorHAnsi" w:hAnsiTheme="minorHAnsi"/>
                <w:color w:val="000000"/>
              </w:rPr>
              <w:t>Other issues</w:t>
            </w:r>
          </w:p>
        </w:tc>
        <w:tc>
          <w:tcPr>
            <w:tcW w:w="0" w:type="auto"/>
            <w:shd w:val="pct10" w:color="auto" w:fill="auto"/>
          </w:tcPr>
          <w:p w:rsidR="0035073D" w:rsidRPr="001A238F" w:rsidRDefault="0035073D" w:rsidP="001A238F">
            <w:pPr>
              <w:jc w:val="both"/>
              <w:rPr>
                <w:rFonts w:asciiTheme="minorHAnsi" w:hAnsiTheme="minorHAnsi" w:cs="Arial"/>
                <w:lang w:eastAsia="en-GB"/>
              </w:rPr>
            </w:pPr>
          </w:p>
        </w:tc>
      </w:tr>
    </w:tbl>
    <w:p w:rsidR="00322F21" w:rsidRPr="002C6871" w:rsidRDefault="00322F21">
      <w:pPr>
        <w:rPr>
          <w:sz w:val="24"/>
          <w:szCs w:val="24"/>
        </w:rPr>
      </w:pPr>
    </w:p>
    <w:sectPr w:rsidR="00322F21" w:rsidRPr="002C6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EE" w:rsidRDefault="008C72EE" w:rsidP="00FA394F">
      <w:pPr>
        <w:spacing w:after="0" w:line="240" w:lineRule="auto"/>
      </w:pPr>
      <w:r>
        <w:separator/>
      </w:r>
    </w:p>
  </w:endnote>
  <w:endnote w:type="continuationSeparator" w:id="0">
    <w:p w:rsidR="008C72EE" w:rsidRDefault="008C72EE" w:rsidP="00FA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EE" w:rsidRDefault="008C72EE" w:rsidP="00FA394F">
      <w:pPr>
        <w:spacing w:after="0" w:line="240" w:lineRule="auto"/>
      </w:pPr>
      <w:r>
        <w:separator/>
      </w:r>
    </w:p>
  </w:footnote>
  <w:footnote w:type="continuationSeparator" w:id="0">
    <w:p w:rsidR="008C72EE" w:rsidRDefault="008C72EE" w:rsidP="00FA3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04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ED4C84C"/>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2">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3">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4">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5">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6">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7">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8">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abstractNum>
  <w:abstractNum w:abstractNumId="2">
    <w:nsid w:val="19492943"/>
    <w:multiLevelType w:val="hybridMultilevel"/>
    <w:tmpl w:val="11507D60"/>
    <w:lvl w:ilvl="0" w:tplc="1D2800AC">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940896"/>
    <w:multiLevelType w:val="hybridMultilevel"/>
    <w:tmpl w:val="3238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910E0"/>
    <w:multiLevelType w:val="hybridMultilevel"/>
    <w:tmpl w:val="0D9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6A0E58"/>
    <w:multiLevelType w:val="hybridMultilevel"/>
    <w:tmpl w:val="138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2F21"/>
    <w:rsid w:val="00020F7F"/>
    <w:rsid w:val="0004790A"/>
    <w:rsid w:val="00067170"/>
    <w:rsid w:val="00077D9F"/>
    <w:rsid w:val="000A07C0"/>
    <w:rsid w:val="000A2670"/>
    <w:rsid w:val="000B2198"/>
    <w:rsid w:val="000B21D3"/>
    <w:rsid w:val="000B2644"/>
    <w:rsid w:val="000C3EAE"/>
    <w:rsid w:val="00100E52"/>
    <w:rsid w:val="00113195"/>
    <w:rsid w:val="00131E0C"/>
    <w:rsid w:val="00151C46"/>
    <w:rsid w:val="001A238F"/>
    <w:rsid w:val="001B20FF"/>
    <w:rsid w:val="001E5416"/>
    <w:rsid w:val="00220582"/>
    <w:rsid w:val="002444BD"/>
    <w:rsid w:val="00254311"/>
    <w:rsid w:val="002923F2"/>
    <w:rsid w:val="002A55BA"/>
    <w:rsid w:val="002C6871"/>
    <w:rsid w:val="002F01F1"/>
    <w:rsid w:val="00322F21"/>
    <w:rsid w:val="00331A31"/>
    <w:rsid w:val="003467BF"/>
    <w:rsid w:val="0035073D"/>
    <w:rsid w:val="003F5427"/>
    <w:rsid w:val="004000F6"/>
    <w:rsid w:val="0043056C"/>
    <w:rsid w:val="004310A0"/>
    <w:rsid w:val="004808A9"/>
    <w:rsid w:val="004972AE"/>
    <w:rsid w:val="004D1794"/>
    <w:rsid w:val="004E292E"/>
    <w:rsid w:val="004E5948"/>
    <w:rsid w:val="004F65BF"/>
    <w:rsid w:val="00517BC2"/>
    <w:rsid w:val="00531F78"/>
    <w:rsid w:val="00542C29"/>
    <w:rsid w:val="0055586B"/>
    <w:rsid w:val="005758DE"/>
    <w:rsid w:val="00576C4B"/>
    <w:rsid w:val="005F6AA8"/>
    <w:rsid w:val="0061698A"/>
    <w:rsid w:val="00623F41"/>
    <w:rsid w:val="00631D80"/>
    <w:rsid w:val="00666870"/>
    <w:rsid w:val="00676918"/>
    <w:rsid w:val="006B57B8"/>
    <w:rsid w:val="006E63B1"/>
    <w:rsid w:val="00705956"/>
    <w:rsid w:val="007170C2"/>
    <w:rsid w:val="0073345B"/>
    <w:rsid w:val="00743D51"/>
    <w:rsid w:val="00751094"/>
    <w:rsid w:val="00763677"/>
    <w:rsid w:val="007657CA"/>
    <w:rsid w:val="007A7A76"/>
    <w:rsid w:val="007D6FF1"/>
    <w:rsid w:val="00800C87"/>
    <w:rsid w:val="00810583"/>
    <w:rsid w:val="008503B7"/>
    <w:rsid w:val="00850DE5"/>
    <w:rsid w:val="00862A68"/>
    <w:rsid w:val="008A2C13"/>
    <w:rsid w:val="008B0C9C"/>
    <w:rsid w:val="008C72EE"/>
    <w:rsid w:val="008E4A8C"/>
    <w:rsid w:val="009607AF"/>
    <w:rsid w:val="009635B5"/>
    <w:rsid w:val="009936B6"/>
    <w:rsid w:val="009D4334"/>
    <w:rsid w:val="009E3100"/>
    <w:rsid w:val="009F2D34"/>
    <w:rsid w:val="00A56DEF"/>
    <w:rsid w:val="00A57D06"/>
    <w:rsid w:val="00A93420"/>
    <w:rsid w:val="00AB5197"/>
    <w:rsid w:val="00AB51F4"/>
    <w:rsid w:val="00AB735A"/>
    <w:rsid w:val="00AC490E"/>
    <w:rsid w:val="00AC7B2A"/>
    <w:rsid w:val="00AF149A"/>
    <w:rsid w:val="00B01F89"/>
    <w:rsid w:val="00B04B8A"/>
    <w:rsid w:val="00B32F6D"/>
    <w:rsid w:val="00B34315"/>
    <w:rsid w:val="00B5188E"/>
    <w:rsid w:val="00B65737"/>
    <w:rsid w:val="00B9573C"/>
    <w:rsid w:val="00BA4E98"/>
    <w:rsid w:val="00BC213A"/>
    <w:rsid w:val="00BD0E76"/>
    <w:rsid w:val="00BD61E0"/>
    <w:rsid w:val="00BF2615"/>
    <w:rsid w:val="00C472FA"/>
    <w:rsid w:val="00C55D0F"/>
    <w:rsid w:val="00C7475E"/>
    <w:rsid w:val="00CD259C"/>
    <w:rsid w:val="00D132E3"/>
    <w:rsid w:val="00D4156C"/>
    <w:rsid w:val="00D56106"/>
    <w:rsid w:val="00D97EC3"/>
    <w:rsid w:val="00DC530A"/>
    <w:rsid w:val="00DE7139"/>
    <w:rsid w:val="00E01EDC"/>
    <w:rsid w:val="00E142D6"/>
    <w:rsid w:val="00E203AF"/>
    <w:rsid w:val="00E3094B"/>
    <w:rsid w:val="00E53179"/>
    <w:rsid w:val="00E66F77"/>
    <w:rsid w:val="00E855CF"/>
    <w:rsid w:val="00EB2E34"/>
    <w:rsid w:val="00EB6F48"/>
    <w:rsid w:val="00EF2432"/>
    <w:rsid w:val="00F066B7"/>
    <w:rsid w:val="00F22C01"/>
    <w:rsid w:val="00F37097"/>
    <w:rsid w:val="00F43AA9"/>
    <w:rsid w:val="00F47E90"/>
    <w:rsid w:val="00F67172"/>
    <w:rsid w:val="00FA394F"/>
    <w:rsid w:val="00FC13A9"/>
    <w:rsid w:val="00FD38B6"/>
    <w:rsid w:val="00FE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4678">
      <w:bodyDiv w:val="1"/>
      <w:marLeft w:val="0"/>
      <w:marRight w:val="0"/>
      <w:marTop w:val="0"/>
      <w:marBottom w:val="0"/>
      <w:divBdr>
        <w:top w:val="none" w:sz="0" w:space="0" w:color="auto"/>
        <w:left w:val="none" w:sz="0" w:space="0" w:color="auto"/>
        <w:bottom w:val="none" w:sz="0" w:space="0" w:color="auto"/>
        <w:right w:val="none" w:sz="0" w:space="0" w:color="auto"/>
      </w:divBdr>
    </w:div>
    <w:div w:id="541553304">
      <w:bodyDiv w:val="1"/>
      <w:marLeft w:val="0"/>
      <w:marRight w:val="0"/>
      <w:marTop w:val="0"/>
      <w:marBottom w:val="0"/>
      <w:divBdr>
        <w:top w:val="none" w:sz="0" w:space="0" w:color="auto"/>
        <w:left w:val="none" w:sz="0" w:space="0" w:color="auto"/>
        <w:bottom w:val="none" w:sz="0" w:space="0" w:color="auto"/>
        <w:right w:val="none" w:sz="0" w:space="0" w:color="auto"/>
      </w:divBdr>
    </w:div>
    <w:div w:id="631910638">
      <w:bodyDiv w:val="1"/>
      <w:marLeft w:val="0"/>
      <w:marRight w:val="0"/>
      <w:marTop w:val="0"/>
      <w:marBottom w:val="0"/>
      <w:divBdr>
        <w:top w:val="none" w:sz="0" w:space="0" w:color="auto"/>
        <w:left w:val="none" w:sz="0" w:space="0" w:color="auto"/>
        <w:bottom w:val="none" w:sz="0" w:space="0" w:color="auto"/>
        <w:right w:val="none" w:sz="0" w:space="0" w:color="auto"/>
      </w:divBdr>
    </w:div>
    <w:div w:id="682778232">
      <w:bodyDiv w:val="1"/>
      <w:marLeft w:val="0"/>
      <w:marRight w:val="0"/>
      <w:marTop w:val="0"/>
      <w:marBottom w:val="0"/>
      <w:divBdr>
        <w:top w:val="none" w:sz="0" w:space="0" w:color="auto"/>
        <w:left w:val="none" w:sz="0" w:space="0" w:color="auto"/>
        <w:bottom w:val="none" w:sz="0" w:space="0" w:color="auto"/>
        <w:right w:val="none" w:sz="0" w:space="0" w:color="auto"/>
      </w:divBdr>
    </w:div>
    <w:div w:id="1056125880">
      <w:bodyDiv w:val="1"/>
      <w:marLeft w:val="0"/>
      <w:marRight w:val="0"/>
      <w:marTop w:val="0"/>
      <w:marBottom w:val="0"/>
      <w:divBdr>
        <w:top w:val="none" w:sz="0" w:space="0" w:color="auto"/>
        <w:left w:val="none" w:sz="0" w:space="0" w:color="auto"/>
        <w:bottom w:val="none" w:sz="0" w:space="0" w:color="auto"/>
        <w:right w:val="none" w:sz="0" w:space="0" w:color="auto"/>
      </w:divBdr>
    </w:div>
    <w:div w:id="1060401571">
      <w:bodyDiv w:val="1"/>
      <w:marLeft w:val="0"/>
      <w:marRight w:val="0"/>
      <w:marTop w:val="0"/>
      <w:marBottom w:val="0"/>
      <w:divBdr>
        <w:top w:val="none" w:sz="0" w:space="0" w:color="auto"/>
        <w:left w:val="none" w:sz="0" w:space="0" w:color="auto"/>
        <w:bottom w:val="none" w:sz="0" w:space="0" w:color="auto"/>
        <w:right w:val="none" w:sz="0" w:space="0" w:color="auto"/>
      </w:divBdr>
    </w:div>
    <w:div w:id="1082409483">
      <w:bodyDiv w:val="1"/>
      <w:marLeft w:val="0"/>
      <w:marRight w:val="0"/>
      <w:marTop w:val="0"/>
      <w:marBottom w:val="0"/>
      <w:divBdr>
        <w:top w:val="none" w:sz="0" w:space="0" w:color="auto"/>
        <w:left w:val="none" w:sz="0" w:space="0" w:color="auto"/>
        <w:bottom w:val="none" w:sz="0" w:space="0" w:color="auto"/>
        <w:right w:val="none" w:sz="0" w:space="0" w:color="auto"/>
      </w:divBdr>
    </w:div>
    <w:div w:id="1373966993">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
    <w:div w:id="1800568300">
      <w:bodyDiv w:val="1"/>
      <w:marLeft w:val="0"/>
      <w:marRight w:val="0"/>
      <w:marTop w:val="0"/>
      <w:marBottom w:val="0"/>
      <w:divBdr>
        <w:top w:val="none" w:sz="0" w:space="0" w:color="auto"/>
        <w:left w:val="none" w:sz="0" w:space="0" w:color="auto"/>
        <w:bottom w:val="none" w:sz="0" w:space="0" w:color="auto"/>
        <w:right w:val="none" w:sz="0" w:space="0" w:color="auto"/>
      </w:divBdr>
    </w:div>
    <w:div w:id="21414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B3F6-8626-41D9-A795-F3DD70A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5606</CharactersWithSpaces>
  <SharedDoc>false</SharedDoc>
  <HLinks>
    <vt:vector size="36" baseType="variant">
      <vt:variant>
        <vt:i4>3801203</vt:i4>
      </vt:variant>
      <vt:variant>
        <vt:i4>15</vt:i4>
      </vt:variant>
      <vt:variant>
        <vt:i4>0</vt:i4>
      </vt:variant>
      <vt:variant>
        <vt:i4>5</vt:i4>
      </vt:variant>
      <vt:variant>
        <vt:lpwstr>https://www.gov.uk/government/uploads/system/uploads/attachment_data/file/248760/Endorserscompact_update7_10_2013.pdf</vt:lpwstr>
      </vt:variant>
      <vt:variant>
        <vt:lpwstr/>
      </vt:variant>
      <vt:variant>
        <vt:i4>4259840</vt:i4>
      </vt:variant>
      <vt:variant>
        <vt:i4>12</vt:i4>
      </vt:variant>
      <vt:variant>
        <vt:i4>0</vt:i4>
      </vt:variant>
      <vt:variant>
        <vt:i4>5</vt:i4>
      </vt:variant>
      <vt:variant>
        <vt:lpwstr>http://www.caadp.net/pdf/CAADP FAFS BROCHURE indd.pdf</vt:lpwstr>
      </vt:variant>
      <vt:variant>
        <vt:lpwstr/>
      </vt:variant>
      <vt:variant>
        <vt:i4>6094866</vt:i4>
      </vt:variant>
      <vt:variant>
        <vt:i4>9</vt:i4>
      </vt:variant>
      <vt:variant>
        <vt:i4>0</vt:i4>
      </vt:variant>
      <vt:variant>
        <vt:i4>5</vt:i4>
      </vt:variant>
      <vt:variant>
        <vt:lpwstr>http://legacy.measuredhs.com/help/Datasets/index.htm</vt:lpwstr>
      </vt:variant>
      <vt:variant>
        <vt:lpwstr/>
      </vt:variant>
      <vt:variant>
        <vt:i4>7405691</vt:i4>
      </vt:variant>
      <vt:variant>
        <vt:i4>6</vt:i4>
      </vt:variant>
      <vt:variant>
        <vt:i4>0</vt:i4>
      </vt:variant>
      <vt:variant>
        <vt:i4>5</vt:i4>
      </vt:variant>
      <vt:variant>
        <vt:lpwstr>http://www.who.int/nutgrowthdb/en/</vt:lpwstr>
      </vt:variant>
      <vt:variant>
        <vt:lpwstr/>
      </vt:variant>
      <vt:variant>
        <vt:i4>6750318</vt:i4>
      </vt:variant>
      <vt:variant>
        <vt:i4>3</vt:i4>
      </vt:variant>
      <vt:variant>
        <vt:i4>0</vt:i4>
      </vt:variant>
      <vt:variant>
        <vt:i4>5</vt:i4>
      </vt:variant>
      <vt:variant>
        <vt:lpwstr>http://www.who.int/childgrowth/en/</vt:lpwstr>
      </vt:variant>
      <vt:variant>
        <vt:lpwstr/>
      </vt:variant>
      <vt:variant>
        <vt:i4>7536753</vt:i4>
      </vt:variant>
      <vt:variant>
        <vt:i4>0</vt:i4>
      </vt:variant>
      <vt:variant>
        <vt:i4>0</vt:i4>
      </vt:variant>
      <vt:variant>
        <vt:i4>5</vt:i4>
      </vt:variant>
      <vt:variant>
        <vt:lpwstr>http://www.who.int/childgrowth/mgrs/en/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Medhi (DEVCO)</dc:creator>
  <cp:lastModifiedBy>ALFIERI Andrea (DEVCO)</cp:lastModifiedBy>
  <cp:revision>3</cp:revision>
  <cp:lastPrinted>2014-12-02T13:15:00Z</cp:lastPrinted>
  <dcterms:created xsi:type="dcterms:W3CDTF">2014-12-08T14:08:00Z</dcterms:created>
  <dcterms:modified xsi:type="dcterms:W3CDTF">2015-04-28T08:07:00Z</dcterms:modified>
</cp:coreProperties>
</file>