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4B" w:rsidRPr="002C6871" w:rsidRDefault="00322F21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2C6871">
        <w:rPr>
          <w:b/>
          <w:sz w:val="24"/>
          <w:szCs w:val="24"/>
          <w:u w:val="single"/>
        </w:rPr>
        <w:t>EU Resul</w:t>
      </w:r>
      <w:r w:rsidR="004972AE" w:rsidRPr="002C6871">
        <w:rPr>
          <w:b/>
          <w:sz w:val="24"/>
          <w:szCs w:val="24"/>
          <w:u w:val="single"/>
        </w:rPr>
        <w:t>t</w:t>
      </w:r>
      <w:r w:rsidRPr="002C6871">
        <w:rPr>
          <w:b/>
          <w:sz w:val="24"/>
          <w:szCs w:val="24"/>
          <w:u w:val="single"/>
        </w:rPr>
        <w:t>s Framework Indicator methodology note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322F21" w:rsidRPr="002C6871" w:rsidTr="003303A0">
        <w:tc>
          <w:tcPr>
            <w:tcW w:w="2943" w:type="dxa"/>
            <w:shd w:val="pct10" w:color="auto" w:fill="auto"/>
            <w:vAlign w:val="bottom"/>
          </w:tcPr>
          <w:p w:rsidR="00322F21" w:rsidRPr="002C6871" w:rsidRDefault="00322F21">
            <w:pPr>
              <w:rPr>
                <w:color w:val="000000"/>
                <w:sz w:val="24"/>
                <w:szCs w:val="24"/>
              </w:rPr>
            </w:pPr>
            <w:r w:rsidRPr="002C6871">
              <w:rPr>
                <w:color w:val="000000"/>
                <w:sz w:val="24"/>
                <w:szCs w:val="24"/>
              </w:rPr>
              <w:t>1. Name of indicator</w:t>
            </w:r>
          </w:p>
        </w:tc>
        <w:tc>
          <w:tcPr>
            <w:tcW w:w="6299" w:type="dxa"/>
            <w:shd w:val="pct10" w:color="auto" w:fill="auto"/>
          </w:tcPr>
          <w:p w:rsidR="00322F21" w:rsidRPr="005E0DF3" w:rsidRDefault="00F804D9">
            <w:pPr>
              <w:rPr>
                <w:b/>
                <w:sz w:val="24"/>
                <w:szCs w:val="24"/>
              </w:rPr>
            </w:pPr>
            <w:r w:rsidRPr="006505F5">
              <w:rPr>
                <w:b/>
                <w:sz w:val="24"/>
                <w:szCs w:val="24"/>
              </w:rPr>
              <w:t xml:space="preserve">Number of people receiving rural advisory services with EU support. </w:t>
            </w:r>
          </w:p>
        </w:tc>
      </w:tr>
      <w:tr w:rsidR="00322F21" w:rsidRPr="002C6871" w:rsidTr="003303A0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2F21" w:rsidRPr="002C6871" w:rsidRDefault="00322F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tcBorders>
              <w:bottom w:val="single" w:sz="4" w:space="0" w:color="auto"/>
            </w:tcBorders>
            <w:shd w:val="clear" w:color="auto" w:fill="auto"/>
          </w:tcPr>
          <w:p w:rsidR="00322F21" w:rsidRPr="004766DE" w:rsidRDefault="00322F21">
            <w:pPr>
              <w:rPr>
                <w:sz w:val="24"/>
                <w:szCs w:val="24"/>
              </w:rPr>
            </w:pPr>
          </w:p>
        </w:tc>
      </w:tr>
      <w:tr w:rsidR="00322F21" w:rsidRPr="002C6871" w:rsidTr="003303A0">
        <w:tc>
          <w:tcPr>
            <w:tcW w:w="2943" w:type="dxa"/>
            <w:shd w:val="pct10" w:color="auto" w:fill="auto"/>
            <w:vAlign w:val="bottom"/>
          </w:tcPr>
          <w:p w:rsidR="00322F21" w:rsidRPr="002C6871" w:rsidRDefault="00322F21">
            <w:pPr>
              <w:rPr>
                <w:color w:val="000000"/>
                <w:sz w:val="24"/>
                <w:szCs w:val="24"/>
              </w:rPr>
            </w:pPr>
            <w:r w:rsidRPr="002C6871">
              <w:rPr>
                <w:color w:val="000000"/>
                <w:sz w:val="24"/>
                <w:szCs w:val="24"/>
              </w:rPr>
              <w:t>2. Which sector (using Result Framework heading)</w:t>
            </w:r>
          </w:p>
        </w:tc>
        <w:tc>
          <w:tcPr>
            <w:tcW w:w="6299" w:type="dxa"/>
            <w:shd w:val="pct10" w:color="auto" w:fill="auto"/>
          </w:tcPr>
          <w:p w:rsidR="00322F21" w:rsidRPr="004766DE" w:rsidRDefault="00A9003C">
            <w:pPr>
              <w:rPr>
                <w:color w:val="000000"/>
                <w:sz w:val="24"/>
                <w:szCs w:val="24"/>
              </w:rPr>
            </w:pPr>
            <w:r w:rsidRPr="004766DE">
              <w:rPr>
                <w:color w:val="000000"/>
                <w:sz w:val="24"/>
                <w:szCs w:val="24"/>
              </w:rPr>
              <w:t xml:space="preserve">Sustainable </w:t>
            </w:r>
            <w:r>
              <w:rPr>
                <w:color w:val="000000"/>
                <w:sz w:val="24"/>
                <w:szCs w:val="24"/>
              </w:rPr>
              <w:t xml:space="preserve">and </w:t>
            </w:r>
            <w:r w:rsidRPr="004766DE">
              <w:rPr>
                <w:color w:val="000000"/>
                <w:sz w:val="24"/>
                <w:szCs w:val="24"/>
              </w:rPr>
              <w:t>Inclusive Agriculture (Agriculture and Food Security).</w:t>
            </w:r>
          </w:p>
        </w:tc>
      </w:tr>
      <w:tr w:rsidR="00322F21" w:rsidRPr="002C6871" w:rsidTr="003303A0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2F21" w:rsidRPr="002C6871" w:rsidRDefault="00322F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tcBorders>
              <w:bottom w:val="single" w:sz="4" w:space="0" w:color="auto"/>
            </w:tcBorders>
            <w:shd w:val="clear" w:color="auto" w:fill="auto"/>
          </w:tcPr>
          <w:p w:rsidR="00322F21" w:rsidRPr="004766DE" w:rsidRDefault="00322F21">
            <w:pPr>
              <w:rPr>
                <w:sz w:val="24"/>
                <w:szCs w:val="24"/>
              </w:rPr>
            </w:pPr>
          </w:p>
        </w:tc>
      </w:tr>
      <w:tr w:rsidR="00322F21" w:rsidRPr="002C6871" w:rsidTr="003303A0">
        <w:tc>
          <w:tcPr>
            <w:tcW w:w="2943" w:type="dxa"/>
            <w:shd w:val="pct10" w:color="auto" w:fill="auto"/>
          </w:tcPr>
          <w:p w:rsidR="00322F21" w:rsidRPr="002C6871" w:rsidRDefault="00322F21" w:rsidP="00631D80">
            <w:pPr>
              <w:rPr>
                <w:color w:val="000000"/>
                <w:sz w:val="24"/>
                <w:szCs w:val="24"/>
              </w:rPr>
            </w:pPr>
            <w:r w:rsidRPr="002C6871">
              <w:rPr>
                <w:color w:val="000000"/>
                <w:sz w:val="24"/>
                <w:szCs w:val="24"/>
              </w:rPr>
              <w:t xml:space="preserve">3. Technical Definition </w:t>
            </w:r>
          </w:p>
        </w:tc>
        <w:tc>
          <w:tcPr>
            <w:tcW w:w="6299" w:type="dxa"/>
            <w:shd w:val="pct10" w:color="auto" w:fill="auto"/>
          </w:tcPr>
          <w:p w:rsidR="00074245" w:rsidRPr="003303A0" w:rsidRDefault="007E5B09" w:rsidP="00C93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eastAsia="en-GB"/>
              </w:rPr>
            </w:pPr>
            <w:r w:rsidRPr="003303A0">
              <w:rPr>
                <w:rFonts w:cs="Arial"/>
                <w:sz w:val="24"/>
                <w:szCs w:val="24"/>
                <w:lang w:eastAsia="en-GB"/>
              </w:rPr>
              <w:t>RAS</w:t>
            </w:r>
            <w:r w:rsidR="000E1DFF" w:rsidRPr="003303A0">
              <w:rPr>
                <w:rStyle w:val="FootnoteReference"/>
                <w:rFonts w:cs="Arial"/>
                <w:sz w:val="24"/>
                <w:szCs w:val="24"/>
                <w:lang w:eastAsia="en-GB"/>
              </w:rPr>
              <w:footnoteReference w:id="1"/>
            </w:r>
            <w:r w:rsidRPr="003303A0">
              <w:rPr>
                <w:rFonts w:cs="Arial"/>
                <w:sz w:val="24"/>
                <w:szCs w:val="24"/>
                <w:lang w:eastAsia="en-GB"/>
              </w:rPr>
              <w:t xml:space="preserve">, </w:t>
            </w:r>
            <w:r w:rsidRPr="003303A0">
              <w:rPr>
                <w:rFonts w:cs="Arial"/>
                <w:b/>
                <w:sz w:val="24"/>
                <w:szCs w:val="24"/>
                <w:lang w:eastAsia="en-GB"/>
              </w:rPr>
              <w:t>Rural advisory services</w:t>
            </w:r>
            <w:r w:rsidRPr="003303A0">
              <w:rPr>
                <w:rFonts w:cs="Arial"/>
                <w:sz w:val="24"/>
                <w:szCs w:val="24"/>
                <w:lang w:eastAsia="en-GB"/>
              </w:rPr>
              <w:t xml:space="preserve"> are </w:t>
            </w:r>
            <w:r w:rsidR="00074245" w:rsidRPr="003303A0">
              <w:rPr>
                <w:rFonts w:cs="Arial"/>
                <w:sz w:val="24"/>
                <w:szCs w:val="24"/>
                <w:lang w:eastAsia="en-GB"/>
              </w:rPr>
              <w:t xml:space="preserve">the different activities that make knowledge available, strengthen capacities, empower rural people and promote innovations in the rural context. </w:t>
            </w:r>
          </w:p>
          <w:p w:rsidR="00B316D9" w:rsidRPr="003303A0" w:rsidRDefault="00B316D9" w:rsidP="00C93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eastAsia="en-GB"/>
              </w:rPr>
            </w:pPr>
          </w:p>
          <w:p w:rsidR="00B316D9" w:rsidRPr="003303A0" w:rsidRDefault="007E5B09" w:rsidP="00C93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eastAsia="en-GB"/>
              </w:rPr>
            </w:pPr>
            <w:r w:rsidRPr="003303A0">
              <w:rPr>
                <w:rFonts w:cs="Arial"/>
                <w:sz w:val="24"/>
                <w:szCs w:val="24"/>
                <w:lang w:eastAsia="en-GB"/>
              </w:rPr>
              <w:t>RAS disseminates information about technologies, markets, inputs, financial issues, assist fa</w:t>
            </w:r>
            <w:r w:rsidR="008054D1">
              <w:rPr>
                <w:rFonts w:cs="Arial"/>
                <w:sz w:val="24"/>
                <w:szCs w:val="24"/>
                <w:lang w:eastAsia="en-GB"/>
              </w:rPr>
              <w:t>r</w:t>
            </w:r>
            <w:r w:rsidRPr="003303A0">
              <w:rPr>
                <w:rFonts w:cs="Arial"/>
                <w:sz w:val="24"/>
                <w:szCs w:val="24"/>
                <w:lang w:eastAsia="en-GB"/>
              </w:rPr>
              <w:t>me</w:t>
            </w:r>
            <w:r w:rsidR="002A7DA9" w:rsidRPr="003303A0">
              <w:rPr>
                <w:rFonts w:cs="Arial"/>
                <w:sz w:val="24"/>
                <w:szCs w:val="24"/>
                <w:lang w:eastAsia="en-GB"/>
              </w:rPr>
              <w:t>rs to develop their technical, organisational</w:t>
            </w:r>
            <w:r w:rsidRPr="003303A0">
              <w:rPr>
                <w:rFonts w:cs="Arial"/>
                <w:sz w:val="24"/>
                <w:szCs w:val="24"/>
                <w:lang w:eastAsia="en-GB"/>
              </w:rPr>
              <w:t xml:space="preserve"> and management skills</w:t>
            </w:r>
            <w:r w:rsidR="002A7DA9" w:rsidRPr="003303A0">
              <w:rPr>
                <w:rFonts w:cs="Arial"/>
                <w:sz w:val="24"/>
                <w:szCs w:val="24"/>
                <w:lang w:eastAsia="en-GB"/>
              </w:rPr>
              <w:t xml:space="preserve"> and practices as to improve their livelihoods and wellbeing</w:t>
            </w:r>
            <w:r w:rsidRPr="003303A0">
              <w:rPr>
                <w:rFonts w:cs="Arial"/>
                <w:sz w:val="24"/>
                <w:szCs w:val="24"/>
                <w:lang w:eastAsia="en-GB"/>
              </w:rPr>
              <w:t xml:space="preserve">. It helps farmers to strengthen </w:t>
            </w:r>
            <w:r w:rsidR="00815FB8">
              <w:rPr>
                <w:rFonts w:cs="Arial"/>
                <w:sz w:val="24"/>
                <w:szCs w:val="24"/>
                <w:lang w:eastAsia="en-GB"/>
              </w:rPr>
              <w:t xml:space="preserve">their </w:t>
            </w:r>
            <w:r w:rsidRPr="003303A0">
              <w:rPr>
                <w:rFonts w:cs="Arial"/>
                <w:sz w:val="24"/>
                <w:szCs w:val="24"/>
                <w:lang w:eastAsia="en-GB"/>
              </w:rPr>
              <w:t>relationshi</w:t>
            </w:r>
            <w:r w:rsidR="00074245" w:rsidRPr="003303A0">
              <w:rPr>
                <w:rFonts w:cs="Arial"/>
                <w:sz w:val="24"/>
                <w:szCs w:val="24"/>
                <w:lang w:eastAsia="en-GB"/>
              </w:rPr>
              <w:t xml:space="preserve">p with </w:t>
            </w:r>
            <w:r w:rsidR="00815FB8">
              <w:rPr>
                <w:rFonts w:cs="Arial"/>
                <w:sz w:val="24"/>
                <w:szCs w:val="24"/>
                <w:lang w:eastAsia="en-GB"/>
              </w:rPr>
              <w:t xml:space="preserve">the </w:t>
            </w:r>
            <w:r w:rsidR="00074245" w:rsidRPr="003303A0">
              <w:rPr>
                <w:rFonts w:cs="Arial"/>
                <w:sz w:val="24"/>
                <w:szCs w:val="24"/>
                <w:lang w:eastAsia="en-GB"/>
              </w:rPr>
              <w:t>private sector, research</w:t>
            </w:r>
            <w:r w:rsidR="00815FB8">
              <w:rPr>
                <w:rFonts w:cs="Arial"/>
                <w:sz w:val="24"/>
                <w:szCs w:val="24"/>
                <w:lang w:eastAsia="en-GB"/>
              </w:rPr>
              <w:t>ers</w:t>
            </w:r>
            <w:r w:rsidR="00074245" w:rsidRPr="003303A0">
              <w:rPr>
                <w:rFonts w:cs="Arial"/>
                <w:sz w:val="24"/>
                <w:szCs w:val="24"/>
                <w:lang w:eastAsia="en-GB"/>
              </w:rPr>
              <w:t xml:space="preserve"> and</w:t>
            </w:r>
            <w:r w:rsidRPr="003303A0">
              <w:rPr>
                <w:rFonts w:cs="Arial"/>
                <w:sz w:val="24"/>
                <w:szCs w:val="24"/>
                <w:lang w:eastAsia="en-GB"/>
              </w:rPr>
              <w:t xml:space="preserve"> government</w:t>
            </w:r>
            <w:r w:rsidR="00815FB8">
              <w:rPr>
                <w:rFonts w:cs="Arial"/>
                <w:sz w:val="24"/>
                <w:szCs w:val="24"/>
                <w:lang w:eastAsia="en-GB"/>
              </w:rPr>
              <w:t>s</w:t>
            </w:r>
            <w:r w:rsidRPr="003303A0">
              <w:rPr>
                <w:rFonts w:cs="Arial"/>
                <w:sz w:val="24"/>
                <w:szCs w:val="24"/>
                <w:lang w:eastAsia="en-GB"/>
              </w:rPr>
              <w:t xml:space="preserve">. </w:t>
            </w:r>
          </w:p>
          <w:p w:rsidR="00B316D9" w:rsidRPr="003303A0" w:rsidRDefault="00B316D9" w:rsidP="00C93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eastAsia="en-GB"/>
              </w:rPr>
            </w:pPr>
          </w:p>
          <w:p w:rsidR="007E5B09" w:rsidRPr="003303A0" w:rsidRDefault="007E5B09" w:rsidP="00C93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eastAsia="en-GB"/>
              </w:rPr>
            </w:pPr>
            <w:r w:rsidRPr="003303A0">
              <w:rPr>
                <w:rFonts w:cs="Arial"/>
                <w:sz w:val="24"/>
                <w:szCs w:val="24"/>
                <w:lang w:eastAsia="en-GB"/>
              </w:rPr>
              <w:t xml:space="preserve">RAS </w:t>
            </w:r>
            <w:r w:rsidR="000E1DFF" w:rsidRPr="003303A0">
              <w:rPr>
                <w:rFonts w:cs="Arial"/>
                <w:sz w:val="24"/>
                <w:szCs w:val="24"/>
                <w:lang w:eastAsia="en-GB"/>
              </w:rPr>
              <w:t xml:space="preserve">improves ability of farmers to operate in groups, to deal with risk patterns, to use </w:t>
            </w:r>
            <w:r w:rsidR="00875D8D">
              <w:rPr>
                <w:rFonts w:cs="Arial"/>
                <w:sz w:val="24"/>
                <w:szCs w:val="24"/>
                <w:lang w:eastAsia="en-GB"/>
              </w:rPr>
              <w:t>ICTs (Information Communication technologies)</w:t>
            </w:r>
            <w:r w:rsidR="00A9003C">
              <w:rPr>
                <w:rFonts w:cs="Arial"/>
                <w:sz w:val="24"/>
                <w:szCs w:val="24"/>
                <w:lang w:eastAsia="en-GB"/>
              </w:rPr>
              <w:t xml:space="preserve"> </w:t>
            </w:r>
            <w:r w:rsidR="000E1DFF" w:rsidRPr="003303A0">
              <w:rPr>
                <w:rFonts w:cs="Arial"/>
                <w:sz w:val="24"/>
                <w:szCs w:val="24"/>
                <w:lang w:eastAsia="en-GB"/>
              </w:rPr>
              <w:t xml:space="preserve">effectively, to seek new markets and deal with value chain operators. </w:t>
            </w:r>
            <w:r w:rsidRPr="003303A0">
              <w:rPr>
                <w:rFonts w:cs="Arial"/>
                <w:sz w:val="24"/>
                <w:szCs w:val="24"/>
                <w:lang w:eastAsia="en-GB"/>
              </w:rPr>
              <w:t xml:space="preserve"> </w:t>
            </w:r>
          </w:p>
          <w:p w:rsidR="000E1DFF" w:rsidRPr="003303A0" w:rsidRDefault="000E1DFF" w:rsidP="008503B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</w:p>
          <w:p w:rsidR="007E5B09" w:rsidRPr="003303A0" w:rsidRDefault="00074245" w:rsidP="008503B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u w:val="single"/>
                <w:lang w:eastAsia="en-GB"/>
              </w:rPr>
            </w:pPr>
            <w:r w:rsidRPr="003303A0">
              <w:rPr>
                <w:rFonts w:cs="Arial"/>
                <w:sz w:val="24"/>
                <w:szCs w:val="24"/>
                <w:u w:val="single"/>
                <w:lang w:eastAsia="en-GB"/>
              </w:rPr>
              <w:t>Examples of RAS:</w:t>
            </w:r>
          </w:p>
          <w:p w:rsidR="00074245" w:rsidRPr="003303A0" w:rsidRDefault="00074245" w:rsidP="008503B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</w:p>
          <w:p w:rsidR="00074245" w:rsidRPr="003303A0" w:rsidRDefault="00074245" w:rsidP="00A90E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eastAsia="en-GB"/>
              </w:rPr>
            </w:pPr>
            <w:r w:rsidRPr="003303A0">
              <w:rPr>
                <w:rFonts w:cs="Arial"/>
                <w:sz w:val="24"/>
                <w:szCs w:val="24"/>
                <w:lang w:eastAsia="en-GB"/>
              </w:rPr>
              <w:t xml:space="preserve">Facilitation </w:t>
            </w:r>
            <w:r w:rsidR="00B316D9" w:rsidRPr="003303A0">
              <w:rPr>
                <w:rFonts w:cs="Arial"/>
                <w:sz w:val="24"/>
                <w:szCs w:val="24"/>
                <w:lang w:eastAsia="en-GB"/>
              </w:rPr>
              <w:t xml:space="preserve">of </w:t>
            </w:r>
            <w:r w:rsidRPr="003303A0">
              <w:rPr>
                <w:rFonts w:cs="Arial"/>
                <w:sz w:val="24"/>
                <w:szCs w:val="24"/>
                <w:lang w:eastAsia="en-GB"/>
              </w:rPr>
              <w:t xml:space="preserve">linkages between </w:t>
            </w:r>
            <w:r w:rsidR="00A90EDD" w:rsidRPr="003303A0">
              <w:rPr>
                <w:rFonts w:cs="Arial"/>
                <w:sz w:val="24"/>
                <w:szCs w:val="24"/>
                <w:lang w:eastAsia="en-GB"/>
              </w:rPr>
              <w:t>farmers,</w:t>
            </w:r>
            <w:r w:rsidRPr="003303A0">
              <w:rPr>
                <w:rFonts w:cs="Arial"/>
                <w:sz w:val="24"/>
                <w:szCs w:val="24"/>
                <w:lang w:eastAsia="en-GB"/>
              </w:rPr>
              <w:t xml:space="preserve"> their organisations and research</w:t>
            </w:r>
            <w:r w:rsidR="000E1DFF" w:rsidRPr="003303A0">
              <w:rPr>
                <w:rFonts w:cs="Arial"/>
                <w:sz w:val="24"/>
                <w:szCs w:val="24"/>
                <w:lang w:eastAsia="en-GB"/>
              </w:rPr>
              <w:t>.</w:t>
            </w:r>
          </w:p>
          <w:p w:rsidR="00074245" w:rsidRPr="003303A0" w:rsidRDefault="00074245" w:rsidP="00A90E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eastAsia="en-GB"/>
              </w:rPr>
            </w:pPr>
            <w:r w:rsidRPr="003303A0">
              <w:rPr>
                <w:rFonts w:cs="Arial"/>
                <w:sz w:val="24"/>
                <w:szCs w:val="24"/>
                <w:lang w:eastAsia="en-GB"/>
              </w:rPr>
              <w:t xml:space="preserve">Development of </w:t>
            </w:r>
            <w:r w:rsidR="00A90EDD" w:rsidRPr="003303A0">
              <w:rPr>
                <w:rFonts w:cs="Arial"/>
                <w:sz w:val="24"/>
                <w:szCs w:val="24"/>
                <w:lang w:eastAsia="en-GB"/>
              </w:rPr>
              <w:t>informal</w:t>
            </w:r>
            <w:r w:rsidRPr="003303A0">
              <w:rPr>
                <w:rFonts w:cs="Arial"/>
                <w:sz w:val="24"/>
                <w:szCs w:val="24"/>
                <w:lang w:eastAsia="en-GB"/>
              </w:rPr>
              <w:t xml:space="preserve"> and formal rural organisations</w:t>
            </w:r>
            <w:r w:rsidR="000E1DFF" w:rsidRPr="003303A0">
              <w:rPr>
                <w:rFonts w:cs="Arial"/>
                <w:sz w:val="24"/>
                <w:szCs w:val="24"/>
                <w:lang w:eastAsia="en-GB"/>
              </w:rPr>
              <w:t>.</w:t>
            </w:r>
          </w:p>
          <w:p w:rsidR="008503B7" w:rsidRPr="003303A0" w:rsidRDefault="00074245" w:rsidP="00A90E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eastAsia="en-GB"/>
              </w:rPr>
            </w:pPr>
            <w:r w:rsidRPr="003303A0">
              <w:rPr>
                <w:rFonts w:cs="Arial"/>
                <w:sz w:val="24"/>
                <w:szCs w:val="24"/>
                <w:lang w:eastAsia="en-GB"/>
              </w:rPr>
              <w:t xml:space="preserve">Training and </w:t>
            </w:r>
            <w:r w:rsidR="00900E6B" w:rsidRPr="003303A0">
              <w:rPr>
                <w:rFonts w:cs="Arial"/>
                <w:sz w:val="24"/>
                <w:szCs w:val="24"/>
                <w:lang w:eastAsia="en-GB"/>
              </w:rPr>
              <w:t xml:space="preserve">advising farmers and agri-businesses along the market chain. </w:t>
            </w:r>
            <w:r w:rsidRPr="003303A0">
              <w:rPr>
                <w:rFonts w:cs="Arial"/>
                <w:sz w:val="24"/>
                <w:szCs w:val="24"/>
                <w:lang w:eastAsia="en-GB"/>
              </w:rPr>
              <w:t xml:space="preserve"> </w:t>
            </w:r>
          </w:p>
          <w:p w:rsidR="002A7DA9" w:rsidRPr="003303A0" w:rsidRDefault="002A7DA9" w:rsidP="00C93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eastAsia="en-GB"/>
              </w:rPr>
            </w:pPr>
          </w:p>
          <w:p w:rsidR="0085532E" w:rsidRPr="0085532E" w:rsidRDefault="000E1DFF" w:rsidP="00B3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eastAsia="en-GB"/>
              </w:rPr>
            </w:pPr>
            <w:r w:rsidRPr="003303A0">
              <w:rPr>
                <w:rFonts w:cs="Arial"/>
                <w:sz w:val="24"/>
                <w:szCs w:val="24"/>
                <w:lang w:eastAsia="en-GB"/>
              </w:rPr>
              <w:t>T</w:t>
            </w:r>
            <w:r w:rsidR="002A7DA9" w:rsidRPr="003303A0">
              <w:rPr>
                <w:rFonts w:cs="Arial"/>
                <w:sz w:val="24"/>
                <w:szCs w:val="24"/>
                <w:lang w:eastAsia="en-GB"/>
              </w:rPr>
              <w:t xml:space="preserve">here </w:t>
            </w:r>
            <w:r w:rsidRPr="003303A0">
              <w:rPr>
                <w:rFonts w:cs="Arial"/>
                <w:sz w:val="24"/>
                <w:szCs w:val="24"/>
                <w:lang w:eastAsia="en-GB"/>
              </w:rPr>
              <w:t>are</w:t>
            </w:r>
            <w:r w:rsidR="002A7DA9" w:rsidRPr="003303A0">
              <w:rPr>
                <w:rFonts w:cs="Arial"/>
                <w:sz w:val="24"/>
                <w:szCs w:val="24"/>
                <w:lang w:eastAsia="en-GB"/>
              </w:rPr>
              <w:t xml:space="preserve"> several </w:t>
            </w:r>
            <w:r w:rsidRPr="003303A0">
              <w:rPr>
                <w:rFonts w:cs="Arial"/>
                <w:sz w:val="24"/>
                <w:szCs w:val="24"/>
                <w:lang w:eastAsia="en-GB"/>
              </w:rPr>
              <w:t>levels</w:t>
            </w:r>
            <w:r w:rsidR="002A7DA9" w:rsidRPr="003303A0">
              <w:rPr>
                <w:rFonts w:cs="Arial"/>
                <w:sz w:val="24"/>
                <w:szCs w:val="24"/>
                <w:lang w:eastAsia="en-GB"/>
              </w:rPr>
              <w:t xml:space="preserve"> of need</w:t>
            </w:r>
            <w:r w:rsidRPr="003303A0">
              <w:rPr>
                <w:rFonts w:cs="Arial"/>
                <w:sz w:val="24"/>
                <w:szCs w:val="24"/>
                <w:lang w:eastAsia="en-GB"/>
              </w:rPr>
              <w:t>s</w:t>
            </w:r>
            <w:r w:rsidR="002A7DA9" w:rsidRPr="003303A0">
              <w:rPr>
                <w:rFonts w:cs="Arial"/>
                <w:sz w:val="24"/>
                <w:szCs w:val="24"/>
                <w:lang w:eastAsia="en-GB"/>
              </w:rPr>
              <w:t xml:space="preserve"> for human resource development. This includes the farmer level and farmer training institutions, the extension agent level and ins</w:t>
            </w:r>
            <w:r w:rsidR="00815FB8">
              <w:rPr>
                <w:rFonts w:cs="Arial"/>
                <w:sz w:val="24"/>
                <w:szCs w:val="24"/>
                <w:lang w:eastAsia="en-GB"/>
              </w:rPr>
              <w:t>titutions that train them (e.g. t</w:t>
            </w:r>
            <w:r w:rsidR="002A7DA9" w:rsidRPr="003303A0">
              <w:rPr>
                <w:rFonts w:cs="Arial"/>
                <w:sz w:val="24"/>
                <w:szCs w:val="24"/>
                <w:lang w:eastAsia="en-GB"/>
              </w:rPr>
              <w:t>echnical colleges)</w:t>
            </w:r>
            <w:r w:rsidR="00B316D9" w:rsidRPr="003303A0">
              <w:rPr>
                <w:rFonts w:cs="Arial"/>
                <w:sz w:val="24"/>
                <w:szCs w:val="24"/>
                <w:lang w:eastAsia="en-GB"/>
              </w:rPr>
              <w:t xml:space="preserve"> as well as </w:t>
            </w:r>
            <w:r w:rsidRPr="003303A0">
              <w:rPr>
                <w:rFonts w:cs="Arial"/>
                <w:sz w:val="24"/>
                <w:szCs w:val="24"/>
                <w:lang w:eastAsia="en-GB"/>
              </w:rPr>
              <w:t xml:space="preserve">the </w:t>
            </w:r>
            <w:r w:rsidR="002A7DA9" w:rsidRPr="003303A0">
              <w:rPr>
                <w:rFonts w:cs="Arial"/>
                <w:sz w:val="24"/>
                <w:szCs w:val="24"/>
                <w:lang w:eastAsia="en-GB"/>
              </w:rPr>
              <w:t>government</w:t>
            </w:r>
            <w:r w:rsidRPr="003303A0">
              <w:rPr>
                <w:rFonts w:cs="Arial"/>
                <w:sz w:val="24"/>
                <w:szCs w:val="24"/>
                <w:lang w:eastAsia="en-GB"/>
              </w:rPr>
              <w:t xml:space="preserve"> officials trained to provide R</w:t>
            </w:r>
            <w:r w:rsidR="002A7DA9" w:rsidRPr="003303A0">
              <w:rPr>
                <w:rFonts w:cs="Arial"/>
                <w:sz w:val="24"/>
                <w:szCs w:val="24"/>
                <w:lang w:eastAsia="en-GB"/>
              </w:rPr>
              <w:t>AS.</w:t>
            </w:r>
            <w:r w:rsidR="006D3537">
              <w:rPr>
                <w:rFonts w:cs="Arial"/>
                <w:sz w:val="24"/>
                <w:szCs w:val="24"/>
                <w:lang w:eastAsia="en-GB"/>
              </w:rPr>
              <w:t xml:space="preserve"> </w:t>
            </w:r>
            <w:r w:rsidR="0085532E" w:rsidRPr="00B964A5">
              <w:rPr>
                <w:rFonts w:asciiTheme="minorHAnsi" w:hAnsiTheme="minorHAnsi" w:cs="Arial"/>
                <w:iCs/>
                <w:sz w:val="24"/>
                <w:szCs w:val="24"/>
                <w:lang w:eastAsia="en-GB"/>
              </w:rPr>
              <w:t xml:space="preserve">Only farmers, extension agents, </w:t>
            </w:r>
            <w:proofErr w:type="spellStart"/>
            <w:r w:rsidR="0085532E" w:rsidRPr="00B964A5">
              <w:rPr>
                <w:rFonts w:asciiTheme="minorHAnsi" w:hAnsiTheme="minorHAnsi" w:cs="Arial"/>
                <w:iCs/>
                <w:sz w:val="24"/>
                <w:szCs w:val="24"/>
                <w:lang w:eastAsia="en-GB"/>
              </w:rPr>
              <w:t>etc</w:t>
            </w:r>
            <w:proofErr w:type="spellEnd"/>
            <w:r w:rsidR="0085532E" w:rsidRPr="00B964A5">
              <w:rPr>
                <w:rFonts w:asciiTheme="minorHAnsi" w:hAnsiTheme="minorHAnsi" w:cs="Arial"/>
                <w:iCs/>
                <w:sz w:val="24"/>
                <w:szCs w:val="24"/>
                <w:lang w:eastAsia="en-GB"/>
              </w:rPr>
              <w:t xml:space="preserve"> who have participated in workshops, trainings, field trips, or similar events should be counted</w:t>
            </w:r>
            <w:r w:rsidR="00517E67">
              <w:rPr>
                <w:rFonts w:asciiTheme="minorHAnsi" w:hAnsiTheme="minorHAnsi" w:cs="Arial"/>
                <w:iCs/>
                <w:sz w:val="24"/>
                <w:szCs w:val="24"/>
                <w:lang w:eastAsia="en-GB"/>
              </w:rPr>
              <w:t>.</w:t>
            </w:r>
          </w:p>
          <w:p w:rsidR="00B316D9" w:rsidRPr="003303A0" w:rsidRDefault="00B316D9" w:rsidP="00B31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eastAsia="en-GB"/>
              </w:rPr>
            </w:pPr>
          </w:p>
          <w:p w:rsidR="002A7DA9" w:rsidRPr="003303A0" w:rsidRDefault="000E1DFF" w:rsidP="00094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eastAsia="en-GB"/>
              </w:rPr>
            </w:pPr>
            <w:r w:rsidRPr="003303A0">
              <w:rPr>
                <w:rFonts w:cs="Arial"/>
                <w:sz w:val="24"/>
                <w:szCs w:val="24"/>
                <w:lang w:eastAsia="en-GB"/>
              </w:rPr>
              <w:lastRenderedPageBreak/>
              <w:t>Extension agents need capacity development</w:t>
            </w:r>
            <w:r w:rsidR="00094A1B">
              <w:rPr>
                <w:rFonts w:cs="Arial"/>
                <w:sz w:val="24"/>
                <w:szCs w:val="24"/>
                <w:lang w:eastAsia="en-GB"/>
              </w:rPr>
              <w:t xml:space="preserve">, which means improving their </w:t>
            </w:r>
            <w:r w:rsidRPr="003303A0">
              <w:rPr>
                <w:rFonts w:cs="Arial"/>
                <w:sz w:val="24"/>
                <w:szCs w:val="24"/>
                <w:lang w:eastAsia="en-GB"/>
              </w:rPr>
              <w:t xml:space="preserve">skills in building social capital, </w:t>
            </w:r>
            <w:r w:rsidR="00094A1B">
              <w:rPr>
                <w:rFonts w:cs="Arial"/>
                <w:sz w:val="24"/>
                <w:szCs w:val="24"/>
                <w:lang w:eastAsia="en-GB"/>
              </w:rPr>
              <w:t xml:space="preserve">in </w:t>
            </w:r>
            <w:r w:rsidRPr="003303A0">
              <w:rPr>
                <w:rFonts w:cs="Arial"/>
                <w:sz w:val="24"/>
                <w:szCs w:val="24"/>
                <w:lang w:eastAsia="en-GB"/>
              </w:rPr>
              <w:t xml:space="preserve">facilitating discussions and coaching stakeholders, </w:t>
            </w:r>
            <w:r w:rsidR="00094A1B">
              <w:rPr>
                <w:rFonts w:cs="Arial"/>
                <w:sz w:val="24"/>
                <w:szCs w:val="24"/>
                <w:lang w:eastAsia="en-GB"/>
              </w:rPr>
              <w:t xml:space="preserve">in </w:t>
            </w:r>
            <w:r w:rsidRPr="003303A0">
              <w:rPr>
                <w:rFonts w:cs="Arial"/>
                <w:sz w:val="24"/>
                <w:szCs w:val="24"/>
                <w:lang w:eastAsia="en-GB"/>
              </w:rPr>
              <w:t xml:space="preserve">negotiating, and addressing new challenges </w:t>
            </w:r>
            <w:r w:rsidR="00B316D9" w:rsidRPr="003303A0">
              <w:rPr>
                <w:rFonts w:cs="Arial"/>
                <w:sz w:val="24"/>
                <w:szCs w:val="24"/>
                <w:lang w:eastAsia="en-GB"/>
              </w:rPr>
              <w:t xml:space="preserve">such as </w:t>
            </w:r>
            <w:r w:rsidRPr="003303A0">
              <w:rPr>
                <w:rFonts w:cs="Arial"/>
                <w:sz w:val="24"/>
                <w:szCs w:val="24"/>
                <w:lang w:eastAsia="en-GB"/>
              </w:rPr>
              <w:t xml:space="preserve">climate change and market trends. </w:t>
            </w:r>
          </w:p>
        </w:tc>
      </w:tr>
      <w:tr w:rsidR="00322F21" w:rsidRPr="002C6871" w:rsidTr="003303A0">
        <w:trPr>
          <w:trHeight w:val="274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2F21" w:rsidRPr="002C6871" w:rsidRDefault="00322F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tcBorders>
              <w:bottom w:val="single" w:sz="4" w:space="0" w:color="auto"/>
            </w:tcBorders>
            <w:shd w:val="clear" w:color="auto" w:fill="auto"/>
          </w:tcPr>
          <w:p w:rsidR="00322F21" w:rsidRPr="004766DE" w:rsidRDefault="00322F21">
            <w:pPr>
              <w:rPr>
                <w:sz w:val="24"/>
                <w:szCs w:val="24"/>
              </w:rPr>
            </w:pPr>
          </w:p>
        </w:tc>
      </w:tr>
      <w:tr w:rsidR="00322F21" w:rsidRPr="002C6871" w:rsidTr="003303A0">
        <w:tc>
          <w:tcPr>
            <w:tcW w:w="2943" w:type="dxa"/>
            <w:shd w:val="pct10" w:color="auto" w:fill="auto"/>
          </w:tcPr>
          <w:p w:rsidR="00322F21" w:rsidRPr="002C6871" w:rsidRDefault="00322F21" w:rsidP="00C93417">
            <w:pPr>
              <w:rPr>
                <w:color w:val="000000"/>
                <w:sz w:val="24"/>
                <w:szCs w:val="24"/>
              </w:rPr>
            </w:pPr>
            <w:r w:rsidRPr="002C6871">
              <w:rPr>
                <w:color w:val="000000"/>
                <w:sz w:val="24"/>
                <w:szCs w:val="24"/>
              </w:rPr>
              <w:t>4. Rationale (including which policy priority, and how is this indicator linked to that policy priority)</w:t>
            </w:r>
          </w:p>
        </w:tc>
        <w:tc>
          <w:tcPr>
            <w:tcW w:w="6299" w:type="dxa"/>
            <w:shd w:val="pct10" w:color="auto" w:fill="auto"/>
          </w:tcPr>
          <w:p w:rsidR="00322F21" w:rsidRPr="003303A0" w:rsidRDefault="006C199B" w:rsidP="00C93417">
            <w:pPr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The European Commission's Communication</w:t>
            </w:r>
            <w:r w:rsidR="00CD145F">
              <w:rPr>
                <w:rFonts w:cs="Calibri"/>
                <w:sz w:val="24"/>
                <w:szCs w:val="24"/>
              </w:rPr>
              <w:t>:</w:t>
            </w:r>
            <w:r w:rsidRPr="003303A0">
              <w:rPr>
                <w:sz w:val="24"/>
                <w:szCs w:val="24"/>
              </w:rPr>
              <w:t xml:space="preserve"> </w:t>
            </w:r>
            <w:r w:rsidR="00B5512F" w:rsidRPr="003303A0">
              <w:rPr>
                <w:sz w:val="24"/>
                <w:szCs w:val="24"/>
              </w:rPr>
              <w:t>A</w:t>
            </w:r>
            <w:r w:rsidR="00B375AA" w:rsidRPr="003303A0">
              <w:rPr>
                <w:sz w:val="24"/>
                <w:szCs w:val="24"/>
              </w:rPr>
              <w:t>genda for Change</w:t>
            </w:r>
            <w:r w:rsidR="00B5512F" w:rsidRPr="003303A0">
              <w:rPr>
                <w:sz w:val="24"/>
                <w:szCs w:val="24"/>
              </w:rPr>
              <w:t xml:space="preserve"> </w:t>
            </w:r>
            <w:r w:rsidR="00815FB8">
              <w:rPr>
                <w:sz w:val="24"/>
                <w:szCs w:val="24"/>
              </w:rPr>
              <w:t xml:space="preserve">(2011) </w:t>
            </w:r>
            <w:r w:rsidR="00B5512F" w:rsidRPr="003303A0">
              <w:rPr>
                <w:sz w:val="24"/>
                <w:szCs w:val="24"/>
              </w:rPr>
              <w:t>supports inclusive and sustainable economic growth increasing people’s ability to participate in, and benefit from, wealth and job creation. In order to ensure inclusiveness and sustainability</w:t>
            </w:r>
            <w:r w:rsidR="00B316D9" w:rsidRPr="003303A0">
              <w:rPr>
                <w:sz w:val="24"/>
                <w:szCs w:val="24"/>
              </w:rPr>
              <w:t>, an</w:t>
            </w:r>
            <w:r w:rsidR="00B5512F" w:rsidRPr="003303A0">
              <w:rPr>
                <w:sz w:val="24"/>
                <w:szCs w:val="24"/>
              </w:rPr>
              <w:t xml:space="preserve"> investment is required </w:t>
            </w:r>
            <w:r w:rsidR="00B316D9" w:rsidRPr="003303A0">
              <w:rPr>
                <w:sz w:val="24"/>
                <w:szCs w:val="24"/>
              </w:rPr>
              <w:t xml:space="preserve">to develop </w:t>
            </w:r>
            <w:r w:rsidR="00B5512F" w:rsidRPr="003303A0">
              <w:rPr>
                <w:sz w:val="24"/>
                <w:szCs w:val="24"/>
              </w:rPr>
              <w:t>human resource</w:t>
            </w:r>
            <w:r w:rsidR="00B316D9" w:rsidRPr="003303A0">
              <w:rPr>
                <w:sz w:val="24"/>
                <w:szCs w:val="24"/>
              </w:rPr>
              <w:t>s</w:t>
            </w:r>
            <w:r w:rsidR="00B5512F" w:rsidRPr="003303A0">
              <w:rPr>
                <w:sz w:val="24"/>
                <w:szCs w:val="24"/>
              </w:rPr>
              <w:t xml:space="preserve">. </w:t>
            </w:r>
          </w:p>
          <w:p w:rsidR="00C93417" w:rsidRPr="003303A0" w:rsidRDefault="00B316D9" w:rsidP="00C93417">
            <w:pPr>
              <w:jc w:val="both"/>
              <w:rPr>
                <w:sz w:val="24"/>
                <w:szCs w:val="24"/>
              </w:rPr>
            </w:pPr>
            <w:r w:rsidRPr="003303A0">
              <w:rPr>
                <w:sz w:val="24"/>
                <w:szCs w:val="24"/>
              </w:rPr>
              <w:t>This indicator r</w:t>
            </w:r>
            <w:r w:rsidR="00B375AA" w:rsidRPr="003303A0">
              <w:rPr>
                <w:sz w:val="24"/>
                <w:szCs w:val="24"/>
              </w:rPr>
              <w:t xml:space="preserve">esponds to the </w:t>
            </w:r>
            <w:r w:rsidR="00B375AA" w:rsidRPr="003303A0">
              <w:rPr>
                <w:b/>
                <w:sz w:val="24"/>
                <w:szCs w:val="24"/>
              </w:rPr>
              <w:t xml:space="preserve">policy </w:t>
            </w:r>
            <w:r w:rsidR="00C93417" w:rsidRPr="003303A0">
              <w:rPr>
                <w:b/>
                <w:sz w:val="24"/>
                <w:szCs w:val="24"/>
              </w:rPr>
              <w:t>priority 1</w:t>
            </w:r>
            <w:r w:rsidR="007B127E" w:rsidRPr="003303A0">
              <w:rPr>
                <w:sz w:val="24"/>
                <w:szCs w:val="24"/>
              </w:rPr>
              <w:t xml:space="preserve"> from the Commission staff working documen</w:t>
            </w:r>
            <w:r w:rsidRPr="003303A0">
              <w:rPr>
                <w:sz w:val="24"/>
                <w:szCs w:val="24"/>
              </w:rPr>
              <w:t>t</w:t>
            </w:r>
            <w:r w:rsidR="007B127E" w:rsidRPr="003303A0">
              <w:rPr>
                <w:sz w:val="24"/>
                <w:szCs w:val="24"/>
              </w:rPr>
              <w:t xml:space="preserve"> </w:t>
            </w:r>
            <w:r w:rsidRPr="003303A0">
              <w:rPr>
                <w:sz w:val="24"/>
                <w:szCs w:val="24"/>
              </w:rPr>
              <w:t>"</w:t>
            </w:r>
            <w:r w:rsidR="007B127E" w:rsidRPr="003303A0">
              <w:rPr>
                <w:sz w:val="24"/>
                <w:szCs w:val="24"/>
              </w:rPr>
              <w:t>Boosting food and nutrition security through EU action</w:t>
            </w:r>
            <w:r w:rsidRPr="003303A0">
              <w:rPr>
                <w:sz w:val="24"/>
                <w:szCs w:val="24"/>
              </w:rPr>
              <w:t>"</w:t>
            </w:r>
            <w:r w:rsidR="007B127E" w:rsidRPr="003303A0">
              <w:rPr>
                <w:sz w:val="24"/>
                <w:szCs w:val="24"/>
              </w:rPr>
              <w:t>. I</w:t>
            </w:r>
            <w:r w:rsidR="00C93417" w:rsidRPr="003303A0">
              <w:rPr>
                <w:sz w:val="24"/>
                <w:szCs w:val="24"/>
              </w:rPr>
              <w:t>mproving</w:t>
            </w:r>
            <w:r w:rsidR="00B375AA" w:rsidRPr="003303A0">
              <w:rPr>
                <w:sz w:val="24"/>
                <w:szCs w:val="24"/>
              </w:rPr>
              <w:t xml:space="preserve"> smallholder resilience and rural livelihoods </w:t>
            </w:r>
            <w:r w:rsidRPr="003303A0">
              <w:rPr>
                <w:sz w:val="24"/>
                <w:szCs w:val="24"/>
              </w:rPr>
              <w:t xml:space="preserve">is achieved </w:t>
            </w:r>
            <w:r w:rsidR="00B375AA" w:rsidRPr="003303A0">
              <w:rPr>
                <w:sz w:val="24"/>
                <w:szCs w:val="24"/>
              </w:rPr>
              <w:t xml:space="preserve">by </w:t>
            </w:r>
            <w:r w:rsidRPr="003303A0">
              <w:rPr>
                <w:sz w:val="24"/>
                <w:szCs w:val="24"/>
              </w:rPr>
              <w:t xml:space="preserve">training </w:t>
            </w:r>
            <w:r w:rsidR="00B375AA" w:rsidRPr="003303A0">
              <w:rPr>
                <w:sz w:val="24"/>
                <w:szCs w:val="24"/>
              </w:rPr>
              <w:t xml:space="preserve">smallholder and women farmers </w:t>
            </w:r>
            <w:r w:rsidRPr="003303A0">
              <w:rPr>
                <w:sz w:val="24"/>
                <w:szCs w:val="24"/>
              </w:rPr>
              <w:t>in</w:t>
            </w:r>
            <w:r w:rsidR="00B375AA" w:rsidRPr="003303A0">
              <w:rPr>
                <w:sz w:val="24"/>
                <w:szCs w:val="24"/>
              </w:rPr>
              <w:t xml:space="preserve"> add</w:t>
            </w:r>
            <w:r w:rsidRPr="003303A0">
              <w:rPr>
                <w:sz w:val="24"/>
                <w:szCs w:val="24"/>
              </w:rPr>
              <w:t>ing</w:t>
            </w:r>
            <w:r w:rsidR="00B375AA" w:rsidRPr="003303A0">
              <w:rPr>
                <w:sz w:val="24"/>
                <w:szCs w:val="24"/>
              </w:rPr>
              <w:t xml:space="preserve"> value to their produce, </w:t>
            </w:r>
            <w:r w:rsidRPr="003303A0">
              <w:rPr>
                <w:sz w:val="24"/>
                <w:szCs w:val="24"/>
              </w:rPr>
              <w:t>developing</w:t>
            </w:r>
            <w:r w:rsidR="00B375AA" w:rsidRPr="003303A0">
              <w:rPr>
                <w:sz w:val="24"/>
                <w:szCs w:val="24"/>
              </w:rPr>
              <w:t xml:space="preserve"> viable agri-business, improv</w:t>
            </w:r>
            <w:r w:rsidRPr="003303A0">
              <w:rPr>
                <w:sz w:val="24"/>
                <w:szCs w:val="24"/>
              </w:rPr>
              <w:t>ing</w:t>
            </w:r>
            <w:r w:rsidR="00B375AA" w:rsidRPr="003303A0">
              <w:rPr>
                <w:sz w:val="24"/>
                <w:szCs w:val="24"/>
              </w:rPr>
              <w:t xml:space="preserve"> the links between farmers and markets and </w:t>
            </w:r>
            <w:r w:rsidRPr="003303A0">
              <w:rPr>
                <w:sz w:val="24"/>
                <w:szCs w:val="24"/>
              </w:rPr>
              <w:t>enhancing</w:t>
            </w:r>
            <w:r w:rsidR="00B375AA" w:rsidRPr="003303A0">
              <w:rPr>
                <w:sz w:val="24"/>
                <w:szCs w:val="24"/>
              </w:rPr>
              <w:t xml:space="preserve"> the efficiency of</w:t>
            </w:r>
            <w:r w:rsidR="007B127E" w:rsidRPr="003303A0">
              <w:rPr>
                <w:sz w:val="24"/>
                <w:szCs w:val="24"/>
              </w:rPr>
              <w:t xml:space="preserve"> agricultural value chains</w:t>
            </w:r>
            <w:r w:rsidRPr="003303A0">
              <w:rPr>
                <w:sz w:val="24"/>
                <w:szCs w:val="24"/>
              </w:rPr>
              <w:t>.</w:t>
            </w:r>
            <w:r w:rsidR="007B127E" w:rsidRPr="003303A0">
              <w:rPr>
                <w:sz w:val="24"/>
                <w:szCs w:val="24"/>
              </w:rPr>
              <w:t xml:space="preserve"> </w:t>
            </w:r>
          </w:p>
          <w:p w:rsidR="00B375AA" w:rsidRPr="003303A0" w:rsidRDefault="00B375AA" w:rsidP="00460C87">
            <w:pPr>
              <w:jc w:val="both"/>
              <w:rPr>
                <w:sz w:val="24"/>
                <w:szCs w:val="24"/>
              </w:rPr>
            </w:pPr>
            <w:r w:rsidRPr="003303A0">
              <w:rPr>
                <w:sz w:val="24"/>
                <w:szCs w:val="24"/>
              </w:rPr>
              <w:t xml:space="preserve">Rural advisory services play an important role in agricultural development for food and nutrition security. Strengthening </w:t>
            </w:r>
            <w:r w:rsidR="002D18DC" w:rsidRPr="003303A0">
              <w:rPr>
                <w:sz w:val="24"/>
                <w:szCs w:val="24"/>
              </w:rPr>
              <w:t xml:space="preserve">capacities requires a broader and wider </w:t>
            </w:r>
            <w:r w:rsidR="00B316D9" w:rsidRPr="003303A0">
              <w:rPr>
                <w:sz w:val="24"/>
                <w:szCs w:val="24"/>
              </w:rPr>
              <w:t>scope</w:t>
            </w:r>
            <w:r w:rsidR="002D18DC" w:rsidRPr="003303A0">
              <w:rPr>
                <w:sz w:val="24"/>
                <w:szCs w:val="24"/>
              </w:rPr>
              <w:t>, including</w:t>
            </w:r>
            <w:r w:rsidR="00B316D9" w:rsidRPr="003303A0">
              <w:rPr>
                <w:sz w:val="24"/>
                <w:szCs w:val="24"/>
              </w:rPr>
              <w:t>:</w:t>
            </w:r>
            <w:r w:rsidR="002D18DC" w:rsidRPr="003303A0">
              <w:rPr>
                <w:sz w:val="24"/>
                <w:szCs w:val="24"/>
              </w:rPr>
              <w:t xml:space="preserve"> the development of networks, organising producers</w:t>
            </w:r>
            <w:r w:rsidR="00B316D9" w:rsidRPr="003303A0">
              <w:rPr>
                <w:sz w:val="24"/>
                <w:szCs w:val="24"/>
              </w:rPr>
              <w:t>;</w:t>
            </w:r>
            <w:r w:rsidR="002D18DC" w:rsidRPr="003303A0">
              <w:rPr>
                <w:sz w:val="24"/>
                <w:szCs w:val="24"/>
              </w:rPr>
              <w:t xml:space="preserve"> facilitating access to credit, input and output service</w:t>
            </w:r>
            <w:r w:rsidR="00B316D9" w:rsidRPr="003303A0">
              <w:rPr>
                <w:sz w:val="24"/>
                <w:szCs w:val="24"/>
              </w:rPr>
              <w:t>;</w:t>
            </w:r>
            <w:r w:rsidR="002D18DC" w:rsidRPr="003303A0">
              <w:rPr>
                <w:sz w:val="24"/>
                <w:szCs w:val="24"/>
              </w:rPr>
              <w:t xml:space="preserve"> convening innovation platform</w:t>
            </w:r>
            <w:r w:rsidR="00C93417" w:rsidRPr="003303A0">
              <w:rPr>
                <w:sz w:val="24"/>
                <w:szCs w:val="24"/>
              </w:rPr>
              <w:t>s</w:t>
            </w:r>
            <w:r w:rsidR="002D18DC" w:rsidRPr="003303A0">
              <w:rPr>
                <w:sz w:val="24"/>
                <w:szCs w:val="24"/>
              </w:rPr>
              <w:t>, alliances and partnerships among stakeholders</w:t>
            </w:r>
            <w:r w:rsidR="00B316D9" w:rsidRPr="003303A0">
              <w:rPr>
                <w:sz w:val="24"/>
                <w:szCs w:val="24"/>
              </w:rPr>
              <w:t>;</w:t>
            </w:r>
            <w:r w:rsidR="002D18DC" w:rsidRPr="003303A0">
              <w:rPr>
                <w:sz w:val="24"/>
                <w:szCs w:val="24"/>
              </w:rPr>
              <w:t xml:space="preserve"> promoting gender equality</w:t>
            </w:r>
            <w:r w:rsidR="00460C87" w:rsidRPr="003303A0">
              <w:rPr>
                <w:sz w:val="24"/>
                <w:szCs w:val="24"/>
              </w:rPr>
              <w:t>;</w:t>
            </w:r>
            <w:r w:rsidR="002D18DC" w:rsidRPr="003303A0">
              <w:rPr>
                <w:sz w:val="24"/>
                <w:szCs w:val="24"/>
              </w:rPr>
              <w:t xml:space="preserve"> facilitating knowledge management</w:t>
            </w:r>
            <w:r w:rsidR="00460C87" w:rsidRPr="003303A0">
              <w:rPr>
                <w:sz w:val="24"/>
                <w:szCs w:val="24"/>
              </w:rPr>
              <w:t>;</w:t>
            </w:r>
            <w:r w:rsidR="002D18DC" w:rsidRPr="003303A0">
              <w:rPr>
                <w:sz w:val="24"/>
                <w:szCs w:val="24"/>
              </w:rPr>
              <w:t xml:space="preserve"> supporting adaptation to </w:t>
            </w:r>
            <w:r w:rsidR="00C93417" w:rsidRPr="003303A0">
              <w:rPr>
                <w:sz w:val="24"/>
                <w:szCs w:val="24"/>
              </w:rPr>
              <w:t>climate change</w:t>
            </w:r>
            <w:r w:rsidR="00460C87" w:rsidRPr="003303A0">
              <w:rPr>
                <w:sz w:val="24"/>
                <w:szCs w:val="24"/>
              </w:rPr>
              <w:t>,</w:t>
            </w:r>
            <w:r w:rsidR="00C93417" w:rsidRPr="003303A0">
              <w:rPr>
                <w:sz w:val="24"/>
                <w:szCs w:val="24"/>
              </w:rPr>
              <w:t xml:space="preserve"> and disseminating</w:t>
            </w:r>
            <w:r w:rsidR="002D18DC" w:rsidRPr="003303A0">
              <w:rPr>
                <w:sz w:val="24"/>
                <w:szCs w:val="24"/>
              </w:rPr>
              <w:t xml:space="preserve"> new knowledge through training and demonstrations. </w:t>
            </w:r>
          </w:p>
        </w:tc>
      </w:tr>
      <w:tr w:rsidR="00322F21" w:rsidRPr="002C6871" w:rsidTr="003303A0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2F21" w:rsidRPr="002C6871" w:rsidRDefault="00322F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tcBorders>
              <w:bottom w:val="single" w:sz="4" w:space="0" w:color="auto"/>
            </w:tcBorders>
            <w:shd w:val="clear" w:color="auto" w:fill="auto"/>
          </w:tcPr>
          <w:p w:rsidR="00322F21" w:rsidRPr="004766DE" w:rsidRDefault="00322F21" w:rsidP="00C93417">
            <w:pPr>
              <w:jc w:val="both"/>
              <w:rPr>
                <w:sz w:val="24"/>
                <w:szCs w:val="24"/>
              </w:rPr>
            </w:pPr>
          </w:p>
        </w:tc>
      </w:tr>
      <w:tr w:rsidR="00322F21" w:rsidRPr="002C6871" w:rsidTr="003303A0">
        <w:tc>
          <w:tcPr>
            <w:tcW w:w="2943" w:type="dxa"/>
            <w:shd w:val="pct10" w:color="auto" w:fill="auto"/>
            <w:vAlign w:val="bottom"/>
          </w:tcPr>
          <w:p w:rsidR="00322F21" w:rsidRPr="002C6871" w:rsidRDefault="00322F21">
            <w:pPr>
              <w:rPr>
                <w:color w:val="000000"/>
                <w:sz w:val="24"/>
                <w:szCs w:val="24"/>
              </w:rPr>
            </w:pPr>
            <w:r w:rsidRPr="002C6871">
              <w:rPr>
                <w:color w:val="000000"/>
                <w:sz w:val="24"/>
                <w:szCs w:val="24"/>
              </w:rPr>
              <w:t>5. Level of disaggregation</w:t>
            </w:r>
          </w:p>
        </w:tc>
        <w:tc>
          <w:tcPr>
            <w:tcW w:w="6299" w:type="dxa"/>
            <w:shd w:val="pct10" w:color="auto" w:fill="auto"/>
          </w:tcPr>
          <w:p w:rsidR="00BC213A" w:rsidRPr="003303A0" w:rsidRDefault="00B375AA" w:rsidP="00C93417">
            <w:pPr>
              <w:jc w:val="both"/>
              <w:rPr>
                <w:sz w:val="24"/>
                <w:szCs w:val="24"/>
              </w:rPr>
            </w:pPr>
            <w:r w:rsidRPr="003303A0">
              <w:rPr>
                <w:sz w:val="24"/>
                <w:szCs w:val="24"/>
              </w:rPr>
              <w:t xml:space="preserve">Disaggregation by </w:t>
            </w:r>
            <w:r w:rsidR="00815FB8" w:rsidRPr="00815FB8">
              <w:rPr>
                <w:sz w:val="24"/>
                <w:szCs w:val="24"/>
              </w:rPr>
              <w:t>sex</w:t>
            </w:r>
            <w:r w:rsidRPr="00815FB8">
              <w:rPr>
                <w:sz w:val="24"/>
                <w:szCs w:val="24"/>
              </w:rPr>
              <w:t>:</w:t>
            </w:r>
          </w:p>
          <w:p w:rsidR="00322F21" w:rsidRPr="003303A0" w:rsidRDefault="00B375AA" w:rsidP="00C93417">
            <w:pPr>
              <w:jc w:val="both"/>
              <w:rPr>
                <w:sz w:val="24"/>
                <w:szCs w:val="24"/>
              </w:rPr>
            </w:pPr>
            <w:r w:rsidRPr="003303A0">
              <w:rPr>
                <w:sz w:val="24"/>
                <w:szCs w:val="24"/>
              </w:rPr>
              <w:t xml:space="preserve">Number of </w:t>
            </w:r>
            <w:r w:rsidRPr="003303A0">
              <w:rPr>
                <w:b/>
                <w:sz w:val="24"/>
                <w:szCs w:val="24"/>
              </w:rPr>
              <w:t>women</w:t>
            </w:r>
            <w:r w:rsidRPr="003303A0">
              <w:rPr>
                <w:sz w:val="24"/>
                <w:szCs w:val="24"/>
              </w:rPr>
              <w:t xml:space="preserve"> and </w:t>
            </w:r>
            <w:r w:rsidRPr="003303A0">
              <w:rPr>
                <w:b/>
                <w:sz w:val="24"/>
                <w:szCs w:val="24"/>
              </w:rPr>
              <w:t>men,</w:t>
            </w:r>
            <w:r w:rsidRPr="003303A0">
              <w:rPr>
                <w:sz w:val="24"/>
                <w:szCs w:val="24"/>
              </w:rPr>
              <w:t xml:space="preserve"> which have received rural advisory services</w:t>
            </w:r>
            <w:r w:rsidR="00094A1B">
              <w:rPr>
                <w:sz w:val="24"/>
                <w:szCs w:val="24"/>
              </w:rPr>
              <w:t>.</w:t>
            </w:r>
          </w:p>
        </w:tc>
      </w:tr>
      <w:tr w:rsidR="00322F21" w:rsidRPr="002C6871" w:rsidTr="003303A0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2F21" w:rsidRPr="002C6871" w:rsidRDefault="00322F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tcBorders>
              <w:bottom w:val="single" w:sz="4" w:space="0" w:color="auto"/>
            </w:tcBorders>
            <w:shd w:val="clear" w:color="auto" w:fill="auto"/>
          </w:tcPr>
          <w:p w:rsidR="00322F21" w:rsidRPr="004766DE" w:rsidRDefault="00322F21" w:rsidP="00C93417">
            <w:pPr>
              <w:jc w:val="both"/>
              <w:rPr>
                <w:sz w:val="24"/>
                <w:szCs w:val="24"/>
              </w:rPr>
            </w:pPr>
          </w:p>
        </w:tc>
      </w:tr>
      <w:tr w:rsidR="00322F21" w:rsidRPr="002C6871" w:rsidTr="003303A0">
        <w:tc>
          <w:tcPr>
            <w:tcW w:w="2943" w:type="dxa"/>
            <w:shd w:val="pct10" w:color="auto" w:fill="auto"/>
          </w:tcPr>
          <w:p w:rsidR="00322F21" w:rsidRPr="002C6871" w:rsidRDefault="00322F21" w:rsidP="00631D80">
            <w:pPr>
              <w:rPr>
                <w:color w:val="000000"/>
                <w:sz w:val="24"/>
                <w:szCs w:val="24"/>
              </w:rPr>
            </w:pPr>
            <w:r w:rsidRPr="002C6871">
              <w:rPr>
                <w:color w:val="000000"/>
                <w:sz w:val="24"/>
                <w:szCs w:val="24"/>
              </w:rPr>
              <w:t>6. Data Sources (including any issues on (</w:t>
            </w:r>
            <w:proofErr w:type="spellStart"/>
            <w:r w:rsidRPr="002C6871">
              <w:rPr>
                <w:color w:val="000000"/>
                <w:sz w:val="24"/>
                <w:szCs w:val="24"/>
              </w:rPr>
              <w:t>i</w:t>
            </w:r>
            <w:proofErr w:type="spellEnd"/>
            <w:r w:rsidRPr="002C6871">
              <w:rPr>
                <w:color w:val="000000"/>
                <w:sz w:val="24"/>
                <w:szCs w:val="24"/>
              </w:rPr>
              <w:t xml:space="preserve">) </w:t>
            </w:r>
            <w:r w:rsidR="000B2198">
              <w:rPr>
                <w:color w:val="000000"/>
                <w:sz w:val="24"/>
                <w:szCs w:val="24"/>
              </w:rPr>
              <w:t xml:space="preserve">different </w:t>
            </w:r>
            <w:r w:rsidR="000B2198">
              <w:rPr>
                <w:color w:val="000000"/>
                <w:sz w:val="24"/>
                <w:szCs w:val="24"/>
              </w:rPr>
              <w:lastRenderedPageBreak/>
              <w:t>definitions by source</w:t>
            </w:r>
            <w:r w:rsidRPr="002C6871">
              <w:rPr>
                <w:color w:val="000000"/>
                <w:sz w:val="24"/>
                <w:szCs w:val="24"/>
              </w:rPr>
              <w:t>, and (ii) level of availability of the data)</w:t>
            </w:r>
          </w:p>
        </w:tc>
        <w:tc>
          <w:tcPr>
            <w:tcW w:w="6299" w:type="dxa"/>
            <w:shd w:val="pct10" w:color="auto" w:fill="auto"/>
          </w:tcPr>
          <w:p w:rsidR="004972AE" w:rsidRPr="00926C13" w:rsidRDefault="005E0DF3" w:rsidP="005C3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EU Project and</w:t>
            </w:r>
            <w:r w:rsidR="00815FB8">
              <w:rPr>
                <w:sz w:val="24"/>
                <w:szCs w:val="24"/>
              </w:rPr>
              <w:t xml:space="preserve"> programme monitoring systems: annual and final r</w:t>
            </w:r>
            <w:r>
              <w:rPr>
                <w:sz w:val="24"/>
                <w:szCs w:val="24"/>
              </w:rPr>
              <w:t xml:space="preserve">eports from implementing organisations, (governments, </w:t>
            </w:r>
            <w:r>
              <w:rPr>
                <w:sz w:val="24"/>
                <w:szCs w:val="24"/>
              </w:rPr>
              <w:lastRenderedPageBreak/>
              <w:t>international org</w:t>
            </w:r>
            <w:r w:rsidR="00815FB8">
              <w:rPr>
                <w:sz w:val="24"/>
                <w:szCs w:val="24"/>
              </w:rPr>
              <w:t>anisations, non-state actors), b</w:t>
            </w:r>
            <w:r>
              <w:rPr>
                <w:sz w:val="24"/>
                <w:szCs w:val="24"/>
              </w:rPr>
              <w:t>aseline surv</w:t>
            </w:r>
            <w:r w:rsidR="00815FB8">
              <w:rPr>
                <w:sz w:val="24"/>
                <w:szCs w:val="24"/>
              </w:rPr>
              <w:t>eys, ROM mid-term reviews, and e</w:t>
            </w:r>
            <w:r>
              <w:rPr>
                <w:sz w:val="24"/>
                <w:szCs w:val="24"/>
              </w:rPr>
              <w:t>valuations.</w:t>
            </w:r>
          </w:p>
        </w:tc>
      </w:tr>
      <w:tr w:rsidR="00322F21" w:rsidRPr="002C6871" w:rsidTr="003303A0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2F21" w:rsidRPr="002C6871" w:rsidRDefault="00322F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tcBorders>
              <w:bottom w:val="single" w:sz="4" w:space="0" w:color="auto"/>
            </w:tcBorders>
            <w:shd w:val="clear" w:color="auto" w:fill="auto"/>
          </w:tcPr>
          <w:p w:rsidR="00322F21" w:rsidRPr="004766DE" w:rsidRDefault="00322F21" w:rsidP="00C93417">
            <w:pPr>
              <w:jc w:val="both"/>
              <w:rPr>
                <w:sz w:val="24"/>
                <w:szCs w:val="24"/>
              </w:rPr>
            </w:pPr>
          </w:p>
        </w:tc>
      </w:tr>
      <w:tr w:rsidR="00322F21" w:rsidRPr="002C6871" w:rsidTr="003303A0">
        <w:tc>
          <w:tcPr>
            <w:tcW w:w="2943" w:type="dxa"/>
            <w:shd w:val="pct10" w:color="auto" w:fill="auto"/>
          </w:tcPr>
          <w:p w:rsidR="00322F21" w:rsidRPr="002C6871" w:rsidRDefault="00322F21" w:rsidP="00631D80">
            <w:pPr>
              <w:rPr>
                <w:color w:val="000000"/>
                <w:sz w:val="24"/>
                <w:szCs w:val="24"/>
              </w:rPr>
            </w:pPr>
            <w:r w:rsidRPr="002C6871">
              <w:rPr>
                <w:color w:val="000000"/>
                <w:sz w:val="24"/>
                <w:szCs w:val="24"/>
              </w:rPr>
              <w:t>7. Data calculation (including any assumptions made)</w:t>
            </w:r>
          </w:p>
        </w:tc>
        <w:tc>
          <w:tcPr>
            <w:tcW w:w="6299" w:type="dxa"/>
            <w:shd w:val="pct10" w:color="auto" w:fill="auto"/>
          </w:tcPr>
          <w:p w:rsidR="00F672E0" w:rsidRPr="003303A0" w:rsidRDefault="00F672E0" w:rsidP="00C93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672E0" w:rsidRDefault="002450D9" w:rsidP="00E74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indicator is calculated</w:t>
            </w:r>
            <w:r w:rsidR="004766D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from</w:t>
            </w:r>
            <w:r w:rsidR="005C3386" w:rsidRPr="003303A0">
              <w:rPr>
                <w:color w:val="000000"/>
                <w:sz w:val="24"/>
                <w:szCs w:val="24"/>
              </w:rPr>
              <w:t xml:space="preserve"> the sum </w:t>
            </w:r>
            <w:r w:rsidR="00F672E0" w:rsidRPr="003303A0">
              <w:rPr>
                <w:color w:val="000000"/>
                <w:sz w:val="24"/>
                <w:szCs w:val="24"/>
              </w:rPr>
              <w:t>of participants to workshops</w:t>
            </w:r>
            <w:r w:rsidR="005C3386" w:rsidRPr="003303A0">
              <w:rPr>
                <w:color w:val="000000"/>
                <w:sz w:val="24"/>
                <w:szCs w:val="24"/>
              </w:rPr>
              <w:t>,</w:t>
            </w:r>
            <w:r w:rsidR="00F672E0" w:rsidRPr="003303A0">
              <w:rPr>
                <w:color w:val="000000"/>
                <w:sz w:val="24"/>
                <w:szCs w:val="24"/>
              </w:rPr>
              <w:t xml:space="preserve"> trainings, field trips,</w:t>
            </w:r>
            <w:r w:rsidR="00094A1B" w:rsidRPr="006E47E1">
              <w:rPr>
                <w:color w:val="000000"/>
                <w:sz w:val="24"/>
                <w:szCs w:val="24"/>
              </w:rPr>
              <w:t xml:space="preserve"> or similar</w:t>
            </w:r>
            <w:r w:rsidR="00F672E0" w:rsidRPr="003303A0">
              <w:rPr>
                <w:color w:val="000000"/>
                <w:sz w:val="24"/>
                <w:szCs w:val="24"/>
              </w:rPr>
              <w:t xml:space="preserve"> events</w:t>
            </w:r>
            <w:r w:rsidR="00094A1B">
              <w:rPr>
                <w:color w:val="000000"/>
                <w:sz w:val="24"/>
                <w:szCs w:val="24"/>
              </w:rPr>
              <w:t>,</w:t>
            </w:r>
            <w:r w:rsidR="00F672E0" w:rsidRPr="003303A0">
              <w:rPr>
                <w:color w:val="000000"/>
                <w:sz w:val="24"/>
                <w:szCs w:val="24"/>
              </w:rPr>
              <w:t xml:space="preserve"> in the following themes:</w:t>
            </w:r>
          </w:p>
          <w:p w:rsidR="004766DE" w:rsidRPr="003303A0" w:rsidRDefault="004766DE" w:rsidP="00E74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F672E0" w:rsidRPr="007E49DD" w:rsidRDefault="00F672E0" w:rsidP="00330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766DE">
              <w:rPr>
                <w:color w:val="000000"/>
                <w:sz w:val="24"/>
                <w:szCs w:val="24"/>
                <w:u w:val="single"/>
              </w:rPr>
              <w:t>Technical</w:t>
            </w:r>
            <w:r w:rsidRPr="004766DE">
              <w:rPr>
                <w:color w:val="000000"/>
                <w:sz w:val="24"/>
                <w:szCs w:val="24"/>
              </w:rPr>
              <w:t xml:space="preserve"> </w:t>
            </w:r>
            <w:r w:rsidR="005C3386" w:rsidRPr="004766DE">
              <w:rPr>
                <w:color w:val="000000"/>
                <w:sz w:val="24"/>
                <w:szCs w:val="24"/>
              </w:rPr>
              <w:t>-</w:t>
            </w:r>
            <w:r w:rsidR="00A9003C">
              <w:rPr>
                <w:color w:val="000000"/>
                <w:sz w:val="24"/>
                <w:szCs w:val="24"/>
              </w:rPr>
              <w:t xml:space="preserve"> l</w:t>
            </w:r>
            <w:r w:rsidRPr="004766DE">
              <w:rPr>
                <w:color w:val="000000"/>
                <w:sz w:val="24"/>
                <w:szCs w:val="24"/>
              </w:rPr>
              <w:t>and crop</w:t>
            </w:r>
            <w:r w:rsidR="005C3386" w:rsidRPr="004766DE">
              <w:rPr>
                <w:color w:val="000000"/>
                <w:sz w:val="24"/>
                <w:szCs w:val="24"/>
              </w:rPr>
              <w:t>ping</w:t>
            </w:r>
            <w:r w:rsidRPr="004766DE">
              <w:rPr>
                <w:color w:val="000000"/>
                <w:sz w:val="24"/>
                <w:szCs w:val="24"/>
              </w:rPr>
              <w:t xml:space="preserve">, </w:t>
            </w:r>
            <w:r w:rsidR="005C3386" w:rsidRPr="004766DE">
              <w:rPr>
                <w:color w:val="000000"/>
                <w:sz w:val="24"/>
                <w:szCs w:val="24"/>
              </w:rPr>
              <w:t xml:space="preserve">use of </w:t>
            </w:r>
            <w:r w:rsidRPr="004766DE">
              <w:rPr>
                <w:color w:val="000000"/>
                <w:sz w:val="24"/>
                <w:szCs w:val="24"/>
              </w:rPr>
              <w:t>seed</w:t>
            </w:r>
            <w:r w:rsidR="005C3386" w:rsidRPr="004766DE">
              <w:rPr>
                <w:color w:val="000000"/>
                <w:sz w:val="24"/>
                <w:szCs w:val="24"/>
              </w:rPr>
              <w:t>s and other inputs</w:t>
            </w:r>
            <w:r w:rsidRPr="006505F5">
              <w:rPr>
                <w:color w:val="000000"/>
                <w:sz w:val="24"/>
                <w:szCs w:val="24"/>
              </w:rPr>
              <w:t xml:space="preserve">, </w:t>
            </w:r>
            <w:r w:rsidR="005C3386" w:rsidRPr="005E0DF3">
              <w:rPr>
                <w:color w:val="000000"/>
                <w:sz w:val="24"/>
                <w:szCs w:val="24"/>
              </w:rPr>
              <w:t xml:space="preserve">post-harvest handling, pest and disease control, </w:t>
            </w:r>
            <w:r w:rsidRPr="007E49DD">
              <w:rPr>
                <w:color w:val="000000"/>
                <w:sz w:val="24"/>
                <w:szCs w:val="24"/>
              </w:rPr>
              <w:t>livestock development, fisheries</w:t>
            </w:r>
            <w:r w:rsidR="005C3386" w:rsidRPr="007E49DD">
              <w:rPr>
                <w:color w:val="000000"/>
                <w:sz w:val="24"/>
                <w:szCs w:val="24"/>
              </w:rPr>
              <w:t>.</w:t>
            </w:r>
          </w:p>
          <w:p w:rsidR="005C3386" w:rsidRPr="003303A0" w:rsidRDefault="00F672E0" w:rsidP="003303A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7E49DD">
              <w:rPr>
                <w:color w:val="000000"/>
                <w:sz w:val="24"/>
                <w:szCs w:val="24"/>
                <w:u w:val="single"/>
              </w:rPr>
              <w:t>Entrepreneurship and Business Development</w:t>
            </w:r>
            <w:r w:rsidRPr="007E49DD">
              <w:rPr>
                <w:color w:val="000000"/>
                <w:sz w:val="24"/>
                <w:szCs w:val="24"/>
              </w:rPr>
              <w:t xml:space="preserve"> </w:t>
            </w:r>
            <w:r w:rsidR="005C3386" w:rsidRPr="007E49DD">
              <w:rPr>
                <w:color w:val="000000"/>
                <w:sz w:val="24"/>
                <w:szCs w:val="24"/>
              </w:rPr>
              <w:t>– processing of primary goods</w:t>
            </w:r>
            <w:r w:rsidRPr="007E49DD">
              <w:rPr>
                <w:color w:val="000000"/>
                <w:sz w:val="24"/>
                <w:szCs w:val="24"/>
              </w:rPr>
              <w:t>, marketing, negotiation</w:t>
            </w:r>
            <w:r w:rsidR="005C3386" w:rsidRPr="00926C13">
              <w:rPr>
                <w:color w:val="000000"/>
                <w:sz w:val="24"/>
                <w:szCs w:val="24"/>
              </w:rPr>
              <w:t xml:space="preserve"> of contracts</w:t>
            </w:r>
            <w:r w:rsidRPr="00926C13">
              <w:rPr>
                <w:color w:val="000000"/>
                <w:sz w:val="24"/>
                <w:szCs w:val="24"/>
              </w:rPr>
              <w:t xml:space="preserve">, </w:t>
            </w:r>
            <w:r w:rsidR="005C3386" w:rsidRPr="00926C13">
              <w:rPr>
                <w:color w:val="000000"/>
                <w:sz w:val="24"/>
                <w:szCs w:val="24"/>
              </w:rPr>
              <w:t xml:space="preserve">accounting, access to </w:t>
            </w:r>
            <w:r w:rsidRPr="0002055D">
              <w:rPr>
                <w:color w:val="000000"/>
                <w:sz w:val="24"/>
                <w:szCs w:val="24"/>
              </w:rPr>
              <w:t xml:space="preserve">financial and </w:t>
            </w:r>
            <w:r w:rsidR="00B5512F" w:rsidRPr="0002055D">
              <w:rPr>
                <w:color w:val="000000"/>
                <w:sz w:val="24"/>
                <w:szCs w:val="24"/>
              </w:rPr>
              <w:t>non-financial</w:t>
            </w:r>
            <w:r w:rsidRPr="0002055D">
              <w:rPr>
                <w:color w:val="000000"/>
                <w:sz w:val="24"/>
                <w:szCs w:val="24"/>
              </w:rPr>
              <w:t xml:space="preserve"> services</w:t>
            </w:r>
            <w:r w:rsidR="005C3386" w:rsidRPr="0002055D">
              <w:rPr>
                <w:color w:val="000000"/>
                <w:sz w:val="24"/>
                <w:szCs w:val="24"/>
              </w:rPr>
              <w:t>, set</w:t>
            </w:r>
            <w:r w:rsidR="00094A1B">
              <w:rPr>
                <w:color w:val="000000"/>
                <w:sz w:val="24"/>
                <w:szCs w:val="24"/>
              </w:rPr>
              <w:t>ting</w:t>
            </w:r>
            <w:r w:rsidR="005C3386" w:rsidRPr="0002055D">
              <w:rPr>
                <w:color w:val="000000"/>
                <w:sz w:val="24"/>
                <w:szCs w:val="24"/>
              </w:rPr>
              <w:t>-up of farmers organizations.</w:t>
            </w:r>
          </w:p>
          <w:p w:rsidR="00322F21" w:rsidRPr="004766DE" w:rsidRDefault="00F672E0" w:rsidP="003303A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4766DE">
              <w:rPr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744F8" w:rsidRPr="005E0DF3" w:rsidRDefault="00E744F8" w:rsidP="00E744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6505F5">
              <w:rPr>
                <w:color w:val="000000"/>
                <w:sz w:val="24"/>
                <w:szCs w:val="24"/>
                <w:u w:val="single"/>
              </w:rPr>
              <w:t>Assumptions</w:t>
            </w:r>
          </w:p>
          <w:p w:rsidR="007F4B42" w:rsidRDefault="00E744F8" w:rsidP="007F4B42">
            <w:pPr>
              <w:jc w:val="both"/>
              <w:rPr>
                <w:sz w:val="24"/>
                <w:szCs w:val="24"/>
              </w:rPr>
            </w:pPr>
            <w:r w:rsidRPr="007E49DD">
              <w:rPr>
                <w:sz w:val="24"/>
                <w:szCs w:val="24"/>
              </w:rPr>
              <w:t xml:space="preserve">Data calculation is the addition of the number of participants to at least one of </w:t>
            </w:r>
            <w:r w:rsidRPr="00926C13">
              <w:rPr>
                <w:sz w:val="24"/>
                <w:szCs w:val="24"/>
              </w:rPr>
              <w:t xml:space="preserve">the mentioned events or training courses. </w:t>
            </w:r>
            <w:r w:rsidR="007F4B42">
              <w:rPr>
                <w:sz w:val="24"/>
                <w:szCs w:val="24"/>
              </w:rPr>
              <w:t xml:space="preserve">While efforts should be taken to ensure against double counting, </w:t>
            </w:r>
            <w:r w:rsidR="00584155">
              <w:rPr>
                <w:sz w:val="24"/>
                <w:szCs w:val="24"/>
              </w:rPr>
              <w:t>there may be instances where this is not feasible. For example, o</w:t>
            </w:r>
            <w:r w:rsidRPr="00926C13">
              <w:rPr>
                <w:sz w:val="24"/>
                <w:szCs w:val="24"/>
              </w:rPr>
              <w:t xml:space="preserve">ne participant </w:t>
            </w:r>
            <w:r w:rsidR="00BA16AF" w:rsidRPr="00926C13">
              <w:rPr>
                <w:sz w:val="24"/>
                <w:szCs w:val="24"/>
              </w:rPr>
              <w:t xml:space="preserve">could be counted more than once, depending on the number of </w:t>
            </w:r>
            <w:r w:rsidR="00A9003C">
              <w:rPr>
                <w:sz w:val="24"/>
                <w:szCs w:val="24"/>
              </w:rPr>
              <w:t xml:space="preserve">different </w:t>
            </w:r>
            <w:r w:rsidR="00BA16AF" w:rsidRPr="00926C13">
              <w:rPr>
                <w:sz w:val="24"/>
                <w:szCs w:val="24"/>
              </w:rPr>
              <w:t xml:space="preserve">events </w:t>
            </w:r>
            <w:r w:rsidR="00A9003C">
              <w:rPr>
                <w:sz w:val="24"/>
                <w:szCs w:val="24"/>
              </w:rPr>
              <w:t xml:space="preserve">or working courses </w:t>
            </w:r>
            <w:r w:rsidR="00584155">
              <w:rPr>
                <w:sz w:val="24"/>
                <w:szCs w:val="24"/>
              </w:rPr>
              <w:t>they attend</w:t>
            </w:r>
            <w:r w:rsidR="00BA16AF" w:rsidRPr="00926C13">
              <w:rPr>
                <w:sz w:val="24"/>
                <w:szCs w:val="24"/>
              </w:rPr>
              <w:t>.</w:t>
            </w:r>
            <w:r w:rsidR="007E49DD">
              <w:rPr>
                <w:sz w:val="24"/>
                <w:szCs w:val="24"/>
              </w:rPr>
              <w:t xml:space="preserve"> </w:t>
            </w:r>
          </w:p>
          <w:p w:rsidR="007B127E" w:rsidRPr="0002055D" w:rsidRDefault="007F4B42" w:rsidP="007F4B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case of working courses</w:t>
            </w:r>
            <w:r w:rsidR="00A9003C">
              <w:rPr>
                <w:sz w:val="24"/>
                <w:szCs w:val="24"/>
              </w:rPr>
              <w:t xml:space="preserve"> composed of more than one </w:t>
            </w:r>
            <w:r w:rsidR="00094A1B">
              <w:rPr>
                <w:sz w:val="24"/>
                <w:szCs w:val="24"/>
              </w:rPr>
              <w:t>session</w:t>
            </w:r>
            <w:r w:rsidR="00A9003C">
              <w:rPr>
                <w:sz w:val="24"/>
                <w:szCs w:val="24"/>
              </w:rPr>
              <w:t xml:space="preserve"> the number of participants reported will be the highest number of people participating in any </w:t>
            </w:r>
            <w:r w:rsidR="00094A1B">
              <w:rPr>
                <w:sz w:val="24"/>
                <w:szCs w:val="24"/>
              </w:rPr>
              <w:t>session</w:t>
            </w:r>
            <w:r w:rsidR="00A9003C">
              <w:rPr>
                <w:sz w:val="24"/>
                <w:szCs w:val="24"/>
              </w:rPr>
              <w:t xml:space="preserve"> within the course.</w:t>
            </w:r>
          </w:p>
        </w:tc>
      </w:tr>
      <w:tr w:rsidR="00322F21" w:rsidRPr="002C6871" w:rsidTr="003303A0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2F21" w:rsidRPr="002C6871" w:rsidRDefault="00322F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tcBorders>
              <w:bottom w:val="single" w:sz="4" w:space="0" w:color="auto"/>
            </w:tcBorders>
            <w:shd w:val="clear" w:color="auto" w:fill="auto"/>
          </w:tcPr>
          <w:p w:rsidR="00322F21" w:rsidRPr="004766DE" w:rsidRDefault="00322F21">
            <w:pPr>
              <w:rPr>
                <w:sz w:val="24"/>
                <w:szCs w:val="24"/>
              </w:rPr>
            </w:pPr>
          </w:p>
        </w:tc>
      </w:tr>
      <w:tr w:rsidR="00322F21" w:rsidRPr="002C6871" w:rsidTr="003303A0">
        <w:tc>
          <w:tcPr>
            <w:tcW w:w="2943" w:type="dxa"/>
            <w:shd w:val="pct10" w:color="auto" w:fill="auto"/>
          </w:tcPr>
          <w:p w:rsidR="00322F21" w:rsidRPr="002C6871" w:rsidRDefault="00322F21" w:rsidP="00631D80">
            <w:pPr>
              <w:rPr>
                <w:color w:val="000000"/>
                <w:sz w:val="24"/>
                <w:szCs w:val="24"/>
              </w:rPr>
            </w:pPr>
            <w:r w:rsidRPr="002C6871">
              <w:rPr>
                <w:color w:val="000000"/>
                <w:sz w:val="24"/>
                <w:szCs w:val="24"/>
              </w:rPr>
              <w:t>8. Worked examples</w:t>
            </w:r>
          </w:p>
        </w:tc>
        <w:tc>
          <w:tcPr>
            <w:tcW w:w="6299" w:type="dxa"/>
            <w:shd w:val="pct10" w:color="auto" w:fill="auto"/>
          </w:tcPr>
          <w:p w:rsidR="008A66CC" w:rsidRPr="003303A0" w:rsidRDefault="008A66CC" w:rsidP="00BC21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4"/>
                <w:szCs w:val="24"/>
                <w:lang w:eastAsia="en-GB"/>
              </w:rPr>
            </w:pPr>
            <w:r w:rsidRPr="003303A0">
              <w:rPr>
                <w:rFonts w:cs="Arial"/>
                <w:i/>
                <w:sz w:val="24"/>
                <w:szCs w:val="24"/>
                <w:lang w:eastAsia="en-GB"/>
              </w:rPr>
              <w:t>Ex</w:t>
            </w:r>
            <w:r w:rsidR="00A9003C" w:rsidRPr="003303A0">
              <w:rPr>
                <w:rFonts w:cs="Arial"/>
                <w:i/>
                <w:sz w:val="24"/>
                <w:szCs w:val="24"/>
                <w:lang w:eastAsia="en-GB"/>
              </w:rPr>
              <w:t>1</w:t>
            </w:r>
            <w:r w:rsidRPr="003303A0">
              <w:rPr>
                <w:rFonts w:cs="Arial"/>
                <w:i/>
                <w:sz w:val="24"/>
                <w:szCs w:val="24"/>
                <w:lang w:eastAsia="en-GB"/>
              </w:rPr>
              <w:t>: Nicaragua</w:t>
            </w:r>
          </w:p>
          <w:p w:rsidR="008A66CC" w:rsidRPr="003303A0" w:rsidRDefault="008A66CC" w:rsidP="00BC21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4"/>
                <w:szCs w:val="24"/>
                <w:lang w:eastAsia="en-GB"/>
              </w:rPr>
            </w:pPr>
            <w:r w:rsidRPr="003303A0">
              <w:rPr>
                <w:rFonts w:cs="Arial"/>
                <w:i/>
                <w:sz w:val="24"/>
                <w:szCs w:val="24"/>
                <w:lang w:eastAsia="en-GB"/>
              </w:rPr>
              <w:t>Programme: Support to Bovine value Chain</w:t>
            </w:r>
          </w:p>
          <w:p w:rsidR="008A66CC" w:rsidRPr="003303A0" w:rsidRDefault="008A66CC" w:rsidP="00BC21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4"/>
                <w:szCs w:val="24"/>
                <w:lang w:eastAsia="en-GB"/>
              </w:rPr>
            </w:pPr>
            <w:r w:rsidRPr="003303A0">
              <w:rPr>
                <w:rFonts w:cs="Arial"/>
                <w:i/>
                <w:sz w:val="24"/>
                <w:szCs w:val="24"/>
                <w:lang w:eastAsia="en-GB"/>
              </w:rPr>
              <w:t>Training event on animal health : 50 participants (30 women, 20 men)</w:t>
            </w:r>
          </w:p>
          <w:p w:rsidR="008A66CC" w:rsidRPr="00926C13" w:rsidRDefault="00A90EDD" w:rsidP="00BC21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926C13">
              <w:rPr>
                <w:rFonts w:cs="Arial"/>
                <w:sz w:val="24"/>
                <w:szCs w:val="24"/>
                <w:lang w:eastAsia="en-GB"/>
              </w:rPr>
              <w:t xml:space="preserve">Training on marketing: 35 participants. (6 women, 29 men). </w:t>
            </w:r>
          </w:p>
          <w:p w:rsidR="00A90EDD" w:rsidRPr="0002055D" w:rsidRDefault="00A90EDD" w:rsidP="00BC21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926C13">
              <w:rPr>
                <w:rFonts w:cs="Arial"/>
                <w:sz w:val="24"/>
                <w:szCs w:val="24"/>
                <w:lang w:eastAsia="en-GB"/>
              </w:rPr>
              <w:t>Training on management regarding the Dairy Farmer’s Association in Nicaragua: 42 participants (10 women, 32 men)</w:t>
            </w:r>
            <w:r w:rsidR="007B127E" w:rsidRPr="0002055D">
              <w:rPr>
                <w:rFonts w:cs="Arial"/>
                <w:sz w:val="24"/>
                <w:szCs w:val="24"/>
                <w:lang w:eastAsia="en-GB"/>
              </w:rPr>
              <w:t>.</w:t>
            </w:r>
          </w:p>
          <w:p w:rsidR="00A90EDD" w:rsidRPr="0002055D" w:rsidRDefault="00A90EDD" w:rsidP="00BC213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</w:p>
          <w:p w:rsidR="00A9003C" w:rsidRDefault="00A90EDD" w:rsidP="0002055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02055D">
              <w:rPr>
                <w:rFonts w:cs="Arial"/>
                <w:sz w:val="24"/>
                <w:szCs w:val="24"/>
                <w:lang w:eastAsia="en-GB"/>
              </w:rPr>
              <w:t>The total number of people receiving RAS will be: 127 (46 women, 81 men).</w:t>
            </w:r>
          </w:p>
          <w:p w:rsidR="00A9003C" w:rsidRDefault="00A9003C" w:rsidP="0002055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</w:p>
          <w:p w:rsidR="00A9003C" w:rsidRPr="003303A0" w:rsidRDefault="00A9003C" w:rsidP="0002055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4"/>
                <w:szCs w:val="24"/>
                <w:lang w:eastAsia="en-GB"/>
              </w:rPr>
            </w:pPr>
            <w:r w:rsidRPr="003303A0">
              <w:rPr>
                <w:rFonts w:cs="Arial"/>
                <w:i/>
                <w:sz w:val="24"/>
                <w:szCs w:val="24"/>
                <w:lang w:eastAsia="en-GB"/>
              </w:rPr>
              <w:t>Ex2: (No specified country)</w:t>
            </w:r>
          </w:p>
          <w:p w:rsidR="00A9003C" w:rsidRPr="003303A0" w:rsidRDefault="00A9003C" w:rsidP="0002055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24"/>
                <w:szCs w:val="24"/>
                <w:lang w:eastAsia="en-GB"/>
              </w:rPr>
            </w:pPr>
            <w:r w:rsidRPr="003303A0">
              <w:rPr>
                <w:rFonts w:cs="Arial"/>
                <w:i/>
                <w:sz w:val="24"/>
                <w:szCs w:val="24"/>
                <w:lang w:eastAsia="en-GB"/>
              </w:rPr>
              <w:t xml:space="preserve">Training course on zero tillage (composed of 3 </w:t>
            </w:r>
            <w:r w:rsidR="00094A1B">
              <w:rPr>
                <w:rFonts w:cs="Arial"/>
                <w:i/>
                <w:sz w:val="24"/>
                <w:szCs w:val="24"/>
                <w:lang w:eastAsia="en-GB"/>
              </w:rPr>
              <w:t>sessions</w:t>
            </w:r>
            <w:r w:rsidRPr="003303A0">
              <w:rPr>
                <w:rFonts w:cs="Arial"/>
                <w:i/>
                <w:sz w:val="24"/>
                <w:szCs w:val="24"/>
                <w:lang w:eastAsia="en-GB"/>
              </w:rPr>
              <w:t>)</w:t>
            </w:r>
          </w:p>
          <w:p w:rsidR="00A9003C" w:rsidRPr="003303A0" w:rsidRDefault="00094A1B" w:rsidP="0002055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val="fr-BE" w:eastAsia="en-GB"/>
              </w:rPr>
            </w:pPr>
            <w:r w:rsidRPr="003303A0">
              <w:rPr>
                <w:rFonts w:cs="Arial"/>
                <w:sz w:val="24"/>
                <w:szCs w:val="24"/>
                <w:lang w:val="fr-BE" w:eastAsia="en-GB"/>
              </w:rPr>
              <w:t>Session</w:t>
            </w:r>
            <w:r w:rsidR="00A9003C" w:rsidRPr="003303A0">
              <w:rPr>
                <w:rFonts w:cs="Arial"/>
                <w:sz w:val="24"/>
                <w:szCs w:val="24"/>
                <w:lang w:val="fr-BE" w:eastAsia="en-GB"/>
              </w:rPr>
              <w:t xml:space="preserve"> 1: 20 participants</w:t>
            </w:r>
          </w:p>
          <w:p w:rsidR="00A9003C" w:rsidRPr="003303A0" w:rsidRDefault="00094A1B" w:rsidP="0002055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val="fr-BE" w:eastAsia="en-GB"/>
              </w:rPr>
            </w:pPr>
            <w:r w:rsidRPr="003303A0">
              <w:rPr>
                <w:rFonts w:cs="Arial"/>
                <w:sz w:val="24"/>
                <w:szCs w:val="24"/>
                <w:lang w:val="fr-BE" w:eastAsia="en-GB"/>
              </w:rPr>
              <w:t>session</w:t>
            </w:r>
            <w:r w:rsidR="00A9003C" w:rsidRPr="003303A0">
              <w:rPr>
                <w:rFonts w:cs="Arial"/>
                <w:sz w:val="24"/>
                <w:szCs w:val="24"/>
                <w:lang w:val="fr-BE" w:eastAsia="en-GB"/>
              </w:rPr>
              <w:t xml:space="preserve"> 2: 30 participants</w:t>
            </w:r>
          </w:p>
          <w:p w:rsidR="00A9003C" w:rsidRPr="003303A0" w:rsidRDefault="00094A1B" w:rsidP="0002055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val="fr-BE" w:eastAsia="en-GB"/>
              </w:rPr>
            </w:pPr>
            <w:r w:rsidRPr="003303A0">
              <w:rPr>
                <w:rFonts w:cs="Arial"/>
                <w:sz w:val="24"/>
                <w:szCs w:val="24"/>
                <w:lang w:val="fr-BE" w:eastAsia="en-GB"/>
              </w:rPr>
              <w:t>Session</w:t>
            </w:r>
            <w:r w:rsidR="00A9003C" w:rsidRPr="003303A0">
              <w:rPr>
                <w:rFonts w:cs="Arial"/>
                <w:sz w:val="24"/>
                <w:szCs w:val="24"/>
                <w:lang w:val="fr-BE" w:eastAsia="en-GB"/>
              </w:rPr>
              <w:t xml:space="preserve"> 3: 27 participants</w:t>
            </w:r>
          </w:p>
          <w:p w:rsidR="00A9003C" w:rsidRPr="003303A0" w:rsidRDefault="00A9003C" w:rsidP="0002055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val="fr-BE" w:eastAsia="en-GB"/>
              </w:rPr>
            </w:pPr>
          </w:p>
          <w:p w:rsidR="00A9003C" w:rsidRDefault="00A9003C" w:rsidP="00A9003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  <w:r w:rsidRPr="0002055D">
              <w:rPr>
                <w:rFonts w:cs="Arial"/>
                <w:sz w:val="24"/>
                <w:szCs w:val="24"/>
                <w:lang w:eastAsia="en-GB"/>
              </w:rPr>
              <w:t xml:space="preserve">The total number of people receiving RAS will be: </w:t>
            </w:r>
            <w:r>
              <w:rPr>
                <w:rFonts w:cs="Arial"/>
                <w:sz w:val="24"/>
                <w:szCs w:val="24"/>
                <w:lang w:eastAsia="en-GB"/>
              </w:rPr>
              <w:t>30</w:t>
            </w:r>
          </w:p>
          <w:p w:rsidR="007B5955" w:rsidRPr="0002055D" w:rsidRDefault="007B5955" w:rsidP="0002055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  <w:lang w:eastAsia="en-GB"/>
              </w:rPr>
            </w:pPr>
          </w:p>
        </w:tc>
      </w:tr>
      <w:tr w:rsidR="00322F21" w:rsidRPr="002C6871" w:rsidTr="003303A0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2F21" w:rsidRPr="002C6871" w:rsidRDefault="00322F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tcBorders>
              <w:bottom w:val="single" w:sz="4" w:space="0" w:color="auto"/>
            </w:tcBorders>
            <w:shd w:val="clear" w:color="auto" w:fill="auto"/>
          </w:tcPr>
          <w:p w:rsidR="00322F21" w:rsidRPr="004766DE" w:rsidRDefault="00322F21">
            <w:pPr>
              <w:rPr>
                <w:sz w:val="24"/>
                <w:szCs w:val="24"/>
              </w:rPr>
            </w:pPr>
          </w:p>
        </w:tc>
      </w:tr>
      <w:tr w:rsidR="00322F21" w:rsidRPr="002C6871" w:rsidTr="003303A0">
        <w:tc>
          <w:tcPr>
            <w:tcW w:w="2943" w:type="dxa"/>
            <w:shd w:val="pct10" w:color="auto" w:fill="auto"/>
            <w:vAlign w:val="bottom"/>
          </w:tcPr>
          <w:p w:rsidR="00322F21" w:rsidRPr="002C6871" w:rsidRDefault="00322F21" w:rsidP="004E292E">
            <w:pPr>
              <w:rPr>
                <w:color w:val="000000"/>
                <w:sz w:val="24"/>
                <w:szCs w:val="24"/>
              </w:rPr>
            </w:pPr>
            <w:r w:rsidRPr="002C6871">
              <w:rPr>
                <w:color w:val="000000"/>
                <w:sz w:val="24"/>
                <w:szCs w:val="24"/>
              </w:rPr>
              <w:t>9. Is it used by another organization</w:t>
            </w:r>
            <w:r w:rsidR="004E292E">
              <w:rPr>
                <w:color w:val="000000"/>
                <w:sz w:val="24"/>
                <w:szCs w:val="24"/>
              </w:rPr>
              <w:t xml:space="preserve"> or in the framework of international initiatives, conventions, </w:t>
            </w:r>
            <w:r w:rsidR="00A90EDD">
              <w:rPr>
                <w:color w:val="000000"/>
                <w:sz w:val="24"/>
                <w:szCs w:val="24"/>
              </w:rPr>
              <w:t>etc.</w:t>
            </w:r>
            <w:r w:rsidRPr="002C6871">
              <w:rPr>
                <w:color w:val="000000"/>
                <w:sz w:val="24"/>
                <w:szCs w:val="24"/>
              </w:rPr>
              <w:t>? I</w:t>
            </w:r>
            <w:r w:rsidR="004E292E">
              <w:rPr>
                <w:color w:val="000000"/>
                <w:sz w:val="24"/>
                <w:szCs w:val="24"/>
              </w:rPr>
              <w:t>f</w:t>
            </w:r>
            <w:r w:rsidRPr="002C6871">
              <w:rPr>
                <w:color w:val="000000"/>
                <w:sz w:val="24"/>
                <w:szCs w:val="24"/>
              </w:rPr>
              <w:t xml:space="preserve"> so, which?</w:t>
            </w:r>
          </w:p>
        </w:tc>
        <w:tc>
          <w:tcPr>
            <w:tcW w:w="6299" w:type="dxa"/>
            <w:shd w:val="pct10" w:color="auto" w:fill="auto"/>
          </w:tcPr>
          <w:p w:rsidR="007B127E" w:rsidRPr="005E0DF3" w:rsidRDefault="007B127E" w:rsidP="00A90EDD">
            <w:pPr>
              <w:rPr>
                <w:sz w:val="24"/>
                <w:szCs w:val="24"/>
              </w:rPr>
            </w:pPr>
            <w:r w:rsidRPr="004766DE">
              <w:rPr>
                <w:sz w:val="24"/>
                <w:szCs w:val="24"/>
              </w:rPr>
              <w:t>The EU working group on “Outcome and impact level indicators on agriculture and rural development</w:t>
            </w:r>
            <w:r w:rsidR="005C3386" w:rsidRPr="004766DE">
              <w:rPr>
                <w:sz w:val="24"/>
                <w:szCs w:val="24"/>
              </w:rPr>
              <w:t>"</w:t>
            </w:r>
            <w:r w:rsidRPr="004766DE">
              <w:rPr>
                <w:sz w:val="24"/>
                <w:szCs w:val="24"/>
              </w:rPr>
              <w:t xml:space="preserve"> (October 2009) mentions an indicator</w:t>
            </w:r>
            <w:r w:rsidR="00BA16AF" w:rsidRPr="006505F5">
              <w:rPr>
                <w:sz w:val="24"/>
                <w:szCs w:val="24"/>
              </w:rPr>
              <w:t xml:space="preserve"> related to extension services:</w:t>
            </w:r>
          </w:p>
          <w:p w:rsidR="007B127E" w:rsidRPr="007E49DD" w:rsidRDefault="007B127E" w:rsidP="00A90EDD">
            <w:pPr>
              <w:rPr>
                <w:sz w:val="24"/>
                <w:szCs w:val="24"/>
              </w:rPr>
            </w:pPr>
            <w:r w:rsidRPr="007E49DD">
              <w:rPr>
                <w:sz w:val="24"/>
                <w:szCs w:val="24"/>
              </w:rPr>
              <w:t>% of farmers that have knowledge, use advice and are satisfied with specific knowledge being disseminated by the extension system</w:t>
            </w:r>
          </w:p>
          <w:p w:rsidR="00322F21" w:rsidRPr="004B51EB" w:rsidRDefault="009C42D9" w:rsidP="005C3386">
            <w:pPr>
              <w:rPr>
                <w:sz w:val="24"/>
                <w:szCs w:val="24"/>
              </w:rPr>
            </w:pPr>
            <w:r w:rsidRPr="00926C13">
              <w:rPr>
                <w:sz w:val="24"/>
                <w:szCs w:val="24"/>
              </w:rPr>
              <w:t xml:space="preserve">Similar indicators </w:t>
            </w:r>
            <w:r w:rsidRPr="0002055D">
              <w:rPr>
                <w:sz w:val="24"/>
                <w:szCs w:val="24"/>
              </w:rPr>
              <w:t xml:space="preserve">are being used by the World Bank within their set of </w:t>
            </w:r>
            <w:r w:rsidR="00A34CD1" w:rsidRPr="0002055D">
              <w:rPr>
                <w:sz w:val="24"/>
                <w:szCs w:val="24"/>
              </w:rPr>
              <w:t>"</w:t>
            </w:r>
            <w:r w:rsidRPr="0002055D">
              <w:rPr>
                <w:sz w:val="24"/>
                <w:szCs w:val="24"/>
              </w:rPr>
              <w:t>core sector indicators</w:t>
            </w:r>
            <w:r w:rsidR="00A34CD1" w:rsidRPr="0002055D">
              <w:rPr>
                <w:sz w:val="24"/>
                <w:szCs w:val="24"/>
              </w:rPr>
              <w:t>"</w:t>
            </w:r>
            <w:r w:rsidRPr="0002055D">
              <w:rPr>
                <w:sz w:val="24"/>
                <w:szCs w:val="24"/>
              </w:rPr>
              <w:t xml:space="preserve">. Examples include: Targeted clients satisfied with agricultural services (percentage), Technologies demonstrated in the project areas (number), (Client) Days of training provided (number). </w:t>
            </w:r>
          </w:p>
        </w:tc>
      </w:tr>
      <w:tr w:rsidR="00322F21" w:rsidRPr="002C6871" w:rsidTr="003303A0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2F21" w:rsidRPr="002C6871" w:rsidRDefault="00322F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  <w:tcBorders>
              <w:bottom w:val="single" w:sz="4" w:space="0" w:color="auto"/>
            </w:tcBorders>
            <w:shd w:val="clear" w:color="auto" w:fill="auto"/>
          </w:tcPr>
          <w:p w:rsidR="00322F21" w:rsidRPr="004766DE" w:rsidRDefault="00322F21">
            <w:pPr>
              <w:rPr>
                <w:sz w:val="24"/>
                <w:szCs w:val="24"/>
              </w:rPr>
            </w:pPr>
          </w:p>
        </w:tc>
      </w:tr>
      <w:tr w:rsidR="00322F21" w:rsidRPr="002C6871" w:rsidTr="003303A0">
        <w:tc>
          <w:tcPr>
            <w:tcW w:w="2943" w:type="dxa"/>
            <w:shd w:val="pct10" w:color="auto" w:fill="auto"/>
          </w:tcPr>
          <w:p w:rsidR="00322F21" w:rsidRPr="002C6871" w:rsidRDefault="00322F21" w:rsidP="00631D80">
            <w:pPr>
              <w:rPr>
                <w:color w:val="000000"/>
                <w:sz w:val="24"/>
                <w:szCs w:val="24"/>
              </w:rPr>
            </w:pPr>
            <w:r w:rsidRPr="002C6871">
              <w:rPr>
                <w:color w:val="000000"/>
                <w:sz w:val="24"/>
                <w:szCs w:val="24"/>
              </w:rPr>
              <w:t>10.Other issues</w:t>
            </w:r>
          </w:p>
        </w:tc>
        <w:tc>
          <w:tcPr>
            <w:tcW w:w="6299" w:type="dxa"/>
            <w:shd w:val="pct10" w:color="auto" w:fill="auto"/>
          </w:tcPr>
          <w:p w:rsidR="00322F21" w:rsidRPr="006505F5" w:rsidRDefault="00322F21" w:rsidP="00BA16AF">
            <w:pPr>
              <w:rPr>
                <w:sz w:val="24"/>
                <w:szCs w:val="24"/>
              </w:rPr>
            </w:pPr>
          </w:p>
        </w:tc>
      </w:tr>
    </w:tbl>
    <w:p w:rsidR="00322F21" w:rsidRPr="002C6871" w:rsidRDefault="00322F21">
      <w:pPr>
        <w:rPr>
          <w:sz w:val="24"/>
          <w:szCs w:val="24"/>
        </w:rPr>
      </w:pPr>
    </w:p>
    <w:sectPr w:rsidR="00322F21" w:rsidRPr="002C687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BF" w:rsidRDefault="00CB0FBF" w:rsidP="000E1DFF">
      <w:pPr>
        <w:spacing w:after="0" w:line="240" w:lineRule="auto"/>
      </w:pPr>
      <w:r>
        <w:separator/>
      </w:r>
    </w:p>
  </w:endnote>
  <w:endnote w:type="continuationSeparator" w:id="0">
    <w:p w:rsidR="00CB0FBF" w:rsidRDefault="00CB0FBF" w:rsidP="000E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BF" w:rsidRDefault="00CB0FBF" w:rsidP="000E1DFF">
      <w:pPr>
        <w:spacing w:after="0" w:line="240" w:lineRule="auto"/>
      </w:pPr>
      <w:r>
        <w:separator/>
      </w:r>
    </w:p>
  </w:footnote>
  <w:footnote w:type="continuationSeparator" w:id="0">
    <w:p w:rsidR="00CB0FBF" w:rsidRDefault="00CB0FBF" w:rsidP="000E1DFF">
      <w:pPr>
        <w:spacing w:after="0" w:line="240" w:lineRule="auto"/>
      </w:pPr>
      <w:r>
        <w:continuationSeparator/>
      </w:r>
    </w:p>
  </w:footnote>
  <w:footnote w:id="1">
    <w:p w:rsidR="000E1DFF" w:rsidRPr="000E1DFF" w:rsidRDefault="000E1DFF">
      <w:pPr>
        <w:pStyle w:val="FootnoteText"/>
      </w:pPr>
      <w:r>
        <w:rPr>
          <w:rStyle w:val="FootnoteReference"/>
        </w:rPr>
        <w:footnoteRef/>
      </w:r>
      <w:r>
        <w:t xml:space="preserve"> Technical d</w:t>
      </w:r>
      <w:r w:rsidR="007B127E">
        <w:t>efinition from</w:t>
      </w:r>
      <w:r>
        <w:t xml:space="preserve"> </w:t>
      </w:r>
      <w:r>
        <w:rPr>
          <w:rFonts w:ascii="Tahoma" w:hAnsi="Tahoma" w:cs="Tahoma"/>
          <w:sz w:val="19"/>
          <w:szCs w:val="19"/>
          <w:lang w:eastAsia="en-GB"/>
        </w:rPr>
        <w:t>Global Forum for Rural Advisory Services (GFRAS)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33" w:rsidRDefault="00E41C33">
    <w:pPr>
      <w:pStyle w:val="Header"/>
    </w:pPr>
    <w:r>
      <w:t>Version – July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A84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A831C4"/>
    <w:multiLevelType w:val="hybridMultilevel"/>
    <w:tmpl w:val="C5DAF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63DAE"/>
    <w:multiLevelType w:val="hybridMultilevel"/>
    <w:tmpl w:val="F5C65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22F21"/>
    <w:rsid w:val="0002055D"/>
    <w:rsid w:val="00074245"/>
    <w:rsid w:val="00094A1B"/>
    <w:rsid w:val="000B2198"/>
    <w:rsid w:val="000B5BDE"/>
    <w:rsid w:val="000C7E52"/>
    <w:rsid w:val="000E1DFF"/>
    <w:rsid w:val="000F0E25"/>
    <w:rsid w:val="001C5097"/>
    <w:rsid w:val="001E657C"/>
    <w:rsid w:val="002450D9"/>
    <w:rsid w:val="002A7DA9"/>
    <w:rsid w:val="002C6871"/>
    <w:rsid w:val="002D0836"/>
    <w:rsid w:val="002D18DC"/>
    <w:rsid w:val="002F363F"/>
    <w:rsid w:val="00322F21"/>
    <w:rsid w:val="003303A0"/>
    <w:rsid w:val="00332B7A"/>
    <w:rsid w:val="00410AF4"/>
    <w:rsid w:val="00460C87"/>
    <w:rsid w:val="004671CE"/>
    <w:rsid w:val="004766DE"/>
    <w:rsid w:val="004972AE"/>
    <w:rsid w:val="004B51EB"/>
    <w:rsid w:val="004E292E"/>
    <w:rsid w:val="004F4544"/>
    <w:rsid w:val="00517E67"/>
    <w:rsid w:val="00525D12"/>
    <w:rsid w:val="00542C29"/>
    <w:rsid w:val="00576C4B"/>
    <w:rsid w:val="00581826"/>
    <w:rsid w:val="00584155"/>
    <w:rsid w:val="005B737E"/>
    <w:rsid w:val="005C3386"/>
    <w:rsid w:val="005E0DF3"/>
    <w:rsid w:val="00631D80"/>
    <w:rsid w:val="006505F5"/>
    <w:rsid w:val="00682DFA"/>
    <w:rsid w:val="006A3FB6"/>
    <w:rsid w:val="006C199B"/>
    <w:rsid w:val="006D3537"/>
    <w:rsid w:val="007A3E46"/>
    <w:rsid w:val="007B127E"/>
    <w:rsid w:val="007B5955"/>
    <w:rsid w:val="007E49DD"/>
    <w:rsid w:val="007E5B09"/>
    <w:rsid w:val="007F4B42"/>
    <w:rsid w:val="00800C87"/>
    <w:rsid w:val="008054D1"/>
    <w:rsid w:val="00815FB8"/>
    <w:rsid w:val="008503B7"/>
    <w:rsid w:val="0085532E"/>
    <w:rsid w:val="00875D8D"/>
    <w:rsid w:val="0087727C"/>
    <w:rsid w:val="008776A7"/>
    <w:rsid w:val="00886A30"/>
    <w:rsid w:val="00892FD4"/>
    <w:rsid w:val="008A66CC"/>
    <w:rsid w:val="008B66A1"/>
    <w:rsid w:val="00900E6B"/>
    <w:rsid w:val="00926C13"/>
    <w:rsid w:val="009C42D9"/>
    <w:rsid w:val="009E45BE"/>
    <w:rsid w:val="00A34CD1"/>
    <w:rsid w:val="00A44BF9"/>
    <w:rsid w:val="00A5083B"/>
    <w:rsid w:val="00A5128F"/>
    <w:rsid w:val="00A9003C"/>
    <w:rsid w:val="00A90EDD"/>
    <w:rsid w:val="00AA4C53"/>
    <w:rsid w:val="00AB61E0"/>
    <w:rsid w:val="00AF29D8"/>
    <w:rsid w:val="00B316D9"/>
    <w:rsid w:val="00B375AA"/>
    <w:rsid w:val="00B50A28"/>
    <w:rsid w:val="00B5512F"/>
    <w:rsid w:val="00B8369B"/>
    <w:rsid w:val="00B964A5"/>
    <w:rsid w:val="00BA16AF"/>
    <w:rsid w:val="00BC213A"/>
    <w:rsid w:val="00BF3AEA"/>
    <w:rsid w:val="00C93417"/>
    <w:rsid w:val="00CB0FBF"/>
    <w:rsid w:val="00CD145F"/>
    <w:rsid w:val="00E26DA9"/>
    <w:rsid w:val="00E41C33"/>
    <w:rsid w:val="00E53D0B"/>
    <w:rsid w:val="00E63501"/>
    <w:rsid w:val="00E744F8"/>
    <w:rsid w:val="00EC6452"/>
    <w:rsid w:val="00F10EC6"/>
    <w:rsid w:val="00F22AB6"/>
    <w:rsid w:val="00F36C94"/>
    <w:rsid w:val="00F54CA8"/>
    <w:rsid w:val="00F672E0"/>
    <w:rsid w:val="00F804D9"/>
    <w:rsid w:val="00FB574A"/>
    <w:rsid w:val="00FC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D80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1DF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E1DFF"/>
    <w:rPr>
      <w:lang w:eastAsia="en-US"/>
    </w:rPr>
  </w:style>
  <w:style w:type="character" w:styleId="FootnoteReference">
    <w:name w:val="footnote reference"/>
    <w:uiPriority w:val="99"/>
    <w:semiHidden/>
    <w:unhideWhenUsed/>
    <w:rsid w:val="000E1DFF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926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C1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26C1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C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6C13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41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C3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1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C3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D80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1DF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E1DFF"/>
    <w:rPr>
      <w:lang w:eastAsia="en-US"/>
    </w:rPr>
  </w:style>
  <w:style w:type="character" w:styleId="FootnoteReference">
    <w:name w:val="footnote reference"/>
    <w:uiPriority w:val="99"/>
    <w:semiHidden/>
    <w:unhideWhenUsed/>
    <w:rsid w:val="000E1DFF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926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C1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26C1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C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6C13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41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C3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1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C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989B1-E325-45D7-8C9F-FE62A560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 Medhi (DEVCO)</dc:creator>
  <cp:lastModifiedBy>KROEMER Julia (DEVCO)</cp:lastModifiedBy>
  <cp:revision>8</cp:revision>
  <cp:lastPrinted>2014-05-14T13:34:00Z</cp:lastPrinted>
  <dcterms:created xsi:type="dcterms:W3CDTF">2017-07-10T15:09:00Z</dcterms:created>
  <dcterms:modified xsi:type="dcterms:W3CDTF">2017-09-04T16:33:00Z</dcterms:modified>
</cp:coreProperties>
</file>