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B" w:rsidRPr="002C6871" w:rsidRDefault="00322F21">
      <w:pPr>
        <w:rPr>
          <w:b/>
          <w:sz w:val="24"/>
          <w:szCs w:val="24"/>
          <w:u w:val="single"/>
        </w:rPr>
      </w:pPr>
      <w:r w:rsidRPr="002C6871">
        <w:rPr>
          <w:b/>
          <w:sz w:val="24"/>
          <w:szCs w:val="24"/>
          <w:u w:val="single"/>
        </w:rPr>
        <w:t>EU Resul</w:t>
      </w:r>
      <w:r w:rsidR="004972AE" w:rsidRPr="002C6871">
        <w:rPr>
          <w:b/>
          <w:sz w:val="24"/>
          <w:szCs w:val="24"/>
          <w:u w:val="single"/>
        </w:rPr>
        <w:t>t</w:t>
      </w:r>
      <w:r w:rsidRPr="002C6871">
        <w:rPr>
          <w:b/>
          <w:sz w:val="24"/>
          <w:szCs w:val="24"/>
          <w:u w:val="single"/>
        </w:rPr>
        <w:t>s Framework Indicator methodology note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656"/>
      </w:tblGrid>
      <w:tr w:rsidR="00322F21" w:rsidRPr="002C6871" w:rsidTr="00862B80">
        <w:tc>
          <w:tcPr>
            <w:tcW w:w="3510" w:type="dxa"/>
            <w:shd w:val="pct10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1. Name of indicator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322F21" w:rsidRPr="002C6871" w:rsidRDefault="00D0688C" w:rsidP="007C1259">
            <w:pPr>
              <w:spacing w:before="120" w:after="120"/>
              <w:rPr>
                <w:sz w:val="24"/>
                <w:szCs w:val="24"/>
              </w:rPr>
            </w:pPr>
            <w:r w:rsidRPr="00D0688C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Number of people </w:t>
            </w:r>
            <w:r w:rsidR="003422C8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directly </w:t>
            </w:r>
            <w:r w:rsidRPr="00D0688C">
              <w:rPr>
                <w:rFonts w:cs="Arial"/>
                <w:b/>
                <w:bCs/>
                <w:sz w:val="24"/>
                <w:szCs w:val="24"/>
                <w:lang w:eastAsia="en-GB"/>
              </w:rPr>
              <w:t>benefitting from legal aid programmes supported by the EU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2. Which sector (using Result Framework heading)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322F21" w:rsidRPr="002C6871" w:rsidRDefault="00D0688C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Good Governance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 xml:space="preserve">3. Technical Definition 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8B5F47" w:rsidRDefault="00D0688C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</w:rPr>
              <w:t xml:space="preserve">The </w:t>
            </w:r>
            <w:r w:rsidR="00515753" w:rsidRPr="009D3AAB">
              <w:rPr>
                <w:sz w:val="24"/>
                <w:szCs w:val="24"/>
              </w:rPr>
              <w:t xml:space="preserve">nature and the </w:t>
            </w:r>
            <w:r w:rsidRPr="009D3AAB">
              <w:rPr>
                <w:sz w:val="24"/>
                <w:szCs w:val="24"/>
              </w:rPr>
              <w:t xml:space="preserve">scope </w:t>
            </w:r>
            <w:r w:rsidR="008B5F47" w:rsidRPr="009D3AAB">
              <w:rPr>
                <w:sz w:val="24"/>
                <w:szCs w:val="24"/>
              </w:rPr>
              <w:t xml:space="preserve">of what </w:t>
            </w:r>
            <w:r w:rsidR="009D3AAB">
              <w:rPr>
                <w:sz w:val="24"/>
                <w:szCs w:val="24"/>
              </w:rPr>
              <w:t>constitutes ‘legal a</w:t>
            </w:r>
            <w:r w:rsidRPr="009D3AAB">
              <w:rPr>
                <w:sz w:val="24"/>
                <w:szCs w:val="24"/>
              </w:rPr>
              <w:t>id’</w:t>
            </w:r>
            <w:r w:rsidR="008B5F47" w:rsidRPr="009D3AAB">
              <w:rPr>
                <w:sz w:val="24"/>
                <w:szCs w:val="24"/>
              </w:rPr>
              <w:t>, who are the providers of legal aid and who are the beneficiaries varies</w:t>
            </w:r>
            <w:r w:rsidRPr="009D3AAB">
              <w:rPr>
                <w:sz w:val="24"/>
                <w:szCs w:val="24"/>
              </w:rPr>
              <w:t xml:space="preserve"> from country to country. For the purposes</w:t>
            </w:r>
            <w:r w:rsidR="009D3AAB">
              <w:rPr>
                <w:sz w:val="24"/>
                <w:szCs w:val="24"/>
              </w:rPr>
              <w:t xml:space="preserve"> of this methodology</w:t>
            </w:r>
            <w:r w:rsidR="0059627E" w:rsidRPr="009D3AAB">
              <w:rPr>
                <w:sz w:val="24"/>
                <w:szCs w:val="24"/>
              </w:rPr>
              <w:t xml:space="preserve"> note, </w:t>
            </w:r>
            <w:r w:rsidR="009577DC" w:rsidRPr="009D3AAB">
              <w:rPr>
                <w:sz w:val="24"/>
                <w:szCs w:val="24"/>
              </w:rPr>
              <w:t>l</w:t>
            </w:r>
            <w:r w:rsidR="008B5F47" w:rsidRPr="009D3AAB">
              <w:rPr>
                <w:sz w:val="24"/>
                <w:szCs w:val="24"/>
              </w:rPr>
              <w:t xml:space="preserve">egal aid is understood broadly as </w:t>
            </w:r>
            <w:r w:rsidR="008B5F47" w:rsidRPr="009D3AAB">
              <w:rPr>
                <w:sz w:val="24"/>
                <w:szCs w:val="24"/>
                <w:lang w:val="en"/>
              </w:rPr>
              <w:t>the provision of legal</w:t>
            </w:r>
            <w:r w:rsidR="009577DC" w:rsidRPr="009D3AAB">
              <w:rPr>
                <w:sz w:val="24"/>
                <w:szCs w:val="24"/>
                <w:lang w:val="en"/>
              </w:rPr>
              <w:t xml:space="preserve"> education</w:t>
            </w:r>
            <w:r w:rsidR="0059627E" w:rsidRPr="009D3AAB">
              <w:rPr>
                <w:sz w:val="24"/>
                <w:szCs w:val="24"/>
                <w:lang w:val="en"/>
              </w:rPr>
              <w:t>, information</w:t>
            </w:r>
            <w:r w:rsidR="008B5F47" w:rsidRPr="009D3AAB">
              <w:rPr>
                <w:sz w:val="24"/>
                <w:szCs w:val="24"/>
                <w:lang w:val="en"/>
              </w:rPr>
              <w:t xml:space="preserve">, </w:t>
            </w:r>
            <w:r w:rsidR="009577DC" w:rsidRPr="009D3AAB">
              <w:rPr>
                <w:sz w:val="24"/>
                <w:szCs w:val="24"/>
                <w:lang w:val="en"/>
              </w:rPr>
              <w:t xml:space="preserve">advice, </w:t>
            </w:r>
            <w:r w:rsidR="008B5F47" w:rsidRPr="009D3AAB">
              <w:rPr>
                <w:sz w:val="24"/>
                <w:szCs w:val="24"/>
                <w:lang w:val="en"/>
              </w:rPr>
              <w:t>assistance</w:t>
            </w:r>
            <w:r w:rsidR="009577DC" w:rsidRPr="009D3AAB">
              <w:rPr>
                <w:sz w:val="24"/>
                <w:szCs w:val="24"/>
                <w:lang w:val="en"/>
              </w:rPr>
              <w:t xml:space="preserve">, representation and alternative dispute resolution.  </w:t>
            </w:r>
            <w:r w:rsidR="0059627E" w:rsidRPr="009D3AAB">
              <w:rPr>
                <w:sz w:val="24"/>
                <w:szCs w:val="24"/>
                <w:lang w:val="en"/>
              </w:rPr>
              <w:t xml:space="preserve">This definition </w:t>
            </w:r>
            <w:r w:rsidR="0075652C" w:rsidRPr="009D3AAB">
              <w:rPr>
                <w:sz w:val="24"/>
                <w:szCs w:val="24"/>
                <w:lang w:val="en"/>
              </w:rPr>
              <w:t>recognizes</w:t>
            </w:r>
            <w:r w:rsidR="0059627E" w:rsidRPr="009D3AAB">
              <w:rPr>
                <w:sz w:val="24"/>
                <w:szCs w:val="24"/>
                <w:lang w:val="en"/>
              </w:rPr>
              <w:t xml:space="preserve"> a number of delivery models</w:t>
            </w:r>
            <w:r w:rsidR="0075652C" w:rsidRPr="009D3AAB">
              <w:rPr>
                <w:sz w:val="24"/>
                <w:szCs w:val="24"/>
                <w:lang w:val="en"/>
              </w:rPr>
              <w:t xml:space="preserve"> and various stakeholders which are considered as key in the provision of legal aid service. These, among other, include</w:t>
            </w:r>
            <w:r w:rsidR="0059627E" w:rsidRPr="009D3AAB">
              <w:rPr>
                <w:sz w:val="24"/>
                <w:szCs w:val="24"/>
                <w:lang w:val="en"/>
              </w:rPr>
              <w:t xml:space="preserve"> legal practitioners, legal aid assistants, community legal clinics,</w:t>
            </w:r>
            <w:r w:rsidR="00B36A98" w:rsidRPr="009D3AAB">
              <w:rPr>
                <w:sz w:val="24"/>
                <w:szCs w:val="24"/>
                <w:lang w:val="en"/>
              </w:rPr>
              <w:t xml:space="preserve"> local legal services, </w:t>
            </w:r>
            <w:r w:rsidR="009D4B4C" w:rsidRPr="009D3AAB">
              <w:rPr>
                <w:sz w:val="24"/>
                <w:szCs w:val="24"/>
                <w:lang w:val="en"/>
              </w:rPr>
              <w:t>university law clinics</w:t>
            </w:r>
            <w:r w:rsidR="0059627E" w:rsidRPr="009D3AAB">
              <w:rPr>
                <w:sz w:val="24"/>
                <w:szCs w:val="24"/>
                <w:lang w:val="en"/>
              </w:rPr>
              <w:t xml:space="preserve">, </w:t>
            </w:r>
            <w:r w:rsidR="0075652C" w:rsidRPr="009D3AAB">
              <w:rPr>
                <w:sz w:val="24"/>
                <w:szCs w:val="24"/>
                <w:lang w:val="en"/>
              </w:rPr>
              <w:t xml:space="preserve">legal units at police, court and prison level, </w:t>
            </w:r>
            <w:r w:rsidR="0059627E" w:rsidRPr="009D3AAB">
              <w:rPr>
                <w:sz w:val="24"/>
                <w:szCs w:val="24"/>
                <w:lang w:val="en"/>
              </w:rPr>
              <w:t xml:space="preserve">paralegals and others. </w:t>
            </w:r>
          </w:p>
          <w:p w:rsidR="003422C8" w:rsidRPr="009D3AAB" w:rsidRDefault="003422C8" w:rsidP="007C125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Number of </w:t>
            </w:r>
            <w:r w:rsidRPr="009D3AAB">
              <w:rPr>
                <w:b/>
                <w:sz w:val="24"/>
                <w:szCs w:val="24"/>
                <w:lang w:val="en"/>
              </w:rPr>
              <w:t xml:space="preserve">people </w:t>
            </w:r>
            <w:r>
              <w:rPr>
                <w:b/>
                <w:sz w:val="24"/>
                <w:szCs w:val="24"/>
                <w:lang w:val="en"/>
              </w:rPr>
              <w:t xml:space="preserve">directly </w:t>
            </w:r>
            <w:r w:rsidRPr="009D3AAB">
              <w:rPr>
                <w:b/>
                <w:sz w:val="24"/>
                <w:szCs w:val="24"/>
                <w:lang w:val="en"/>
              </w:rPr>
              <w:t>benefitting from legal aid</w:t>
            </w:r>
            <w:r w:rsidRPr="009D3AAB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9D3AAB">
              <w:rPr>
                <w:b/>
                <w:sz w:val="24"/>
                <w:szCs w:val="24"/>
                <w:lang w:val="en"/>
              </w:rPr>
              <w:t>program</w:t>
            </w:r>
            <w:r>
              <w:rPr>
                <w:b/>
                <w:sz w:val="24"/>
                <w:szCs w:val="24"/>
                <w:lang w:val="en"/>
              </w:rPr>
              <w:t>me</w:t>
            </w:r>
            <w:r w:rsidRPr="009D3AAB">
              <w:rPr>
                <w:b/>
                <w:sz w:val="24"/>
                <w:szCs w:val="24"/>
                <w:lang w:val="en"/>
              </w:rPr>
              <w:t>s</w:t>
            </w:r>
            <w:proofErr w:type="spellEnd"/>
            <w:r w:rsidRPr="009D3AAB">
              <w:rPr>
                <w:sz w:val="24"/>
                <w:szCs w:val="24"/>
                <w:lang w:val="en"/>
              </w:rPr>
              <w:t xml:space="preserve"> include: number of people who received legal information, advice and assistance, number of people benefitting from legal r</w:t>
            </w:r>
            <w:r w:rsidR="00EE75DA">
              <w:rPr>
                <w:sz w:val="24"/>
                <w:szCs w:val="24"/>
                <w:lang w:val="en"/>
              </w:rPr>
              <w:t xml:space="preserve">epresentation, number of legal </w:t>
            </w:r>
            <w:r w:rsidRPr="009D3AAB">
              <w:rPr>
                <w:sz w:val="24"/>
                <w:szCs w:val="24"/>
                <w:lang w:val="en"/>
              </w:rPr>
              <w:t>aid practitioners</w:t>
            </w:r>
            <w:r>
              <w:rPr>
                <w:sz w:val="24"/>
                <w:szCs w:val="24"/>
                <w:lang w:val="en"/>
              </w:rPr>
              <w:t xml:space="preserve"> (</w:t>
            </w:r>
            <w:r w:rsidRPr="009D3AAB">
              <w:rPr>
                <w:sz w:val="24"/>
                <w:szCs w:val="24"/>
                <w:lang w:val="en"/>
              </w:rPr>
              <w:t>providers) trained or otherwise supported</w:t>
            </w:r>
            <w:r>
              <w:rPr>
                <w:sz w:val="24"/>
                <w:szCs w:val="24"/>
                <w:lang w:val="en"/>
              </w:rPr>
              <w:t>.</w:t>
            </w:r>
          </w:p>
          <w:p w:rsidR="009577DC" w:rsidRPr="009D3AAB" w:rsidRDefault="008B5F47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b/>
                <w:sz w:val="24"/>
                <w:szCs w:val="24"/>
                <w:lang w:val="en"/>
              </w:rPr>
              <w:t>Le</w:t>
            </w:r>
            <w:r w:rsidR="0075652C" w:rsidRPr="009D3AAB">
              <w:rPr>
                <w:b/>
                <w:sz w:val="24"/>
                <w:szCs w:val="24"/>
                <w:lang w:val="en"/>
              </w:rPr>
              <w:t>g</w:t>
            </w:r>
            <w:r w:rsidRPr="009D3AAB">
              <w:rPr>
                <w:b/>
                <w:sz w:val="24"/>
                <w:szCs w:val="24"/>
                <w:lang w:val="en"/>
              </w:rPr>
              <w:t xml:space="preserve">al aid </w:t>
            </w:r>
            <w:proofErr w:type="spellStart"/>
            <w:r w:rsidR="009D3AAB">
              <w:rPr>
                <w:b/>
                <w:sz w:val="24"/>
                <w:szCs w:val="24"/>
                <w:lang w:val="en"/>
              </w:rPr>
              <w:t>programme</w:t>
            </w:r>
            <w:r w:rsidR="009577DC" w:rsidRPr="009D3AAB">
              <w:rPr>
                <w:b/>
                <w:sz w:val="24"/>
                <w:szCs w:val="24"/>
                <w:lang w:val="en"/>
              </w:rPr>
              <w:t>s</w:t>
            </w:r>
            <w:proofErr w:type="spellEnd"/>
            <w:r w:rsidRPr="009D3AAB">
              <w:rPr>
                <w:sz w:val="24"/>
                <w:szCs w:val="24"/>
                <w:lang w:val="en"/>
              </w:rPr>
              <w:t xml:space="preserve"> </w:t>
            </w:r>
            <w:r w:rsidR="0075652C" w:rsidRPr="009D3AAB">
              <w:rPr>
                <w:sz w:val="24"/>
                <w:szCs w:val="24"/>
                <w:lang w:val="en"/>
              </w:rPr>
              <w:t xml:space="preserve">can be understood as </w:t>
            </w:r>
            <w:proofErr w:type="spellStart"/>
            <w:r w:rsidR="0075652C" w:rsidRPr="009D3AAB">
              <w:rPr>
                <w:sz w:val="24"/>
                <w:szCs w:val="24"/>
                <w:lang w:val="en"/>
              </w:rPr>
              <w:t>program</w:t>
            </w:r>
            <w:r w:rsidR="009D3AAB">
              <w:rPr>
                <w:sz w:val="24"/>
                <w:szCs w:val="24"/>
                <w:lang w:val="en"/>
              </w:rPr>
              <w:t>me</w:t>
            </w:r>
            <w:r w:rsidR="0075652C" w:rsidRPr="009D3AAB">
              <w:rPr>
                <w:sz w:val="24"/>
                <w:szCs w:val="24"/>
                <w:lang w:val="en"/>
              </w:rPr>
              <w:t>s</w:t>
            </w:r>
            <w:proofErr w:type="spellEnd"/>
            <w:r w:rsidR="0075652C" w:rsidRPr="009D3AAB">
              <w:rPr>
                <w:sz w:val="24"/>
                <w:szCs w:val="24"/>
                <w:lang w:val="en"/>
              </w:rPr>
              <w:t xml:space="preserve"> which </w:t>
            </w:r>
            <w:r w:rsidR="009577DC" w:rsidRPr="009D3AAB">
              <w:rPr>
                <w:sz w:val="24"/>
                <w:szCs w:val="24"/>
                <w:lang w:val="en"/>
              </w:rPr>
              <w:t>support  some or all of the following objectives</w:t>
            </w:r>
            <w:r w:rsidR="00B36A98" w:rsidRPr="009D3AAB">
              <w:rPr>
                <w:sz w:val="24"/>
                <w:szCs w:val="24"/>
                <w:lang w:val="en"/>
              </w:rPr>
              <w:t xml:space="preserve"> (non-exhaustive list)</w:t>
            </w:r>
            <w:r w:rsidR="009577DC" w:rsidRPr="009D3AAB">
              <w:rPr>
                <w:sz w:val="24"/>
                <w:szCs w:val="24"/>
                <w:lang w:val="en"/>
              </w:rPr>
              <w:t>:</w:t>
            </w:r>
          </w:p>
          <w:p w:rsidR="009577DC" w:rsidRPr="009D3AAB" w:rsidRDefault="009577DC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support </w:t>
            </w:r>
            <w:r w:rsidR="00945B0D" w:rsidRPr="009D3AAB">
              <w:rPr>
                <w:sz w:val="24"/>
                <w:szCs w:val="24"/>
                <w:lang w:val="en"/>
              </w:rPr>
              <w:t xml:space="preserve">to </w:t>
            </w:r>
            <w:r w:rsidRPr="009D3AAB">
              <w:rPr>
                <w:sz w:val="24"/>
                <w:szCs w:val="24"/>
                <w:lang w:val="en"/>
              </w:rPr>
              <w:t xml:space="preserve">the definition </w:t>
            </w:r>
            <w:r w:rsidR="00B36A98" w:rsidRPr="009D3AAB">
              <w:rPr>
                <w:sz w:val="24"/>
                <w:szCs w:val="24"/>
                <w:lang w:val="en"/>
              </w:rPr>
              <w:t>of the nature</w:t>
            </w:r>
            <w:r w:rsidR="00945B0D" w:rsidRPr="009D3AAB">
              <w:rPr>
                <w:sz w:val="24"/>
                <w:szCs w:val="24"/>
                <w:lang w:val="en"/>
              </w:rPr>
              <w:t xml:space="preserve"> and </w:t>
            </w:r>
            <w:r w:rsidRPr="009D3AAB">
              <w:rPr>
                <w:sz w:val="24"/>
                <w:szCs w:val="24"/>
                <w:lang w:val="en"/>
              </w:rPr>
              <w:t>scope of legal  aid services</w:t>
            </w:r>
            <w:r w:rsidR="00945B0D" w:rsidRPr="009D3AAB">
              <w:rPr>
                <w:sz w:val="24"/>
                <w:szCs w:val="24"/>
                <w:lang w:val="en"/>
              </w:rPr>
              <w:t>;</w:t>
            </w:r>
            <w:r w:rsidR="0059627E" w:rsidRPr="009D3AAB">
              <w:rPr>
                <w:sz w:val="24"/>
                <w:szCs w:val="24"/>
                <w:lang w:val="en"/>
              </w:rPr>
              <w:t xml:space="preserve">  delineat</w:t>
            </w:r>
            <w:r w:rsidR="00945B0D" w:rsidRPr="009D3AAB">
              <w:rPr>
                <w:sz w:val="24"/>
                <w:szCs w:val="24"/>
                <w:lang w:val="en"/>
              </w:rPr>
              <w:t>ion of</w:t>
            </w:r>
            <w:r w:rsidR="0059627E" w:rsidRPr="009D3AAB">
              <w:rPr>
                <w:sz w:val="24"/>
                <w:szCs w:val="24"/>
                <w:lang w:val="en"/>
              </w:rPr>
              <w:t xml:space="preserve"> legal aid delivery models, </w:t>
            </w:r>
            <w:r w:rsidR="007A2523" w:rsidRPr="009D3AAB">
              <w:rPr>
                <w:sz w:val="24"/>
                <w:szCs w:val="24"/>
                <w:lang w:val="en"/>
              </w:rPr>
              <w:t>in line with international standards</w:t>
            </w:r>
            <w:r w:rsidR="00547783" w:rsidRPr="009D3AAB">
              <w:rPr>
                <w:sz w:val="24"/>
                <w:szCs w:val="24"/>
                <w:lang w:val="en"/>
              </w:rPr>
              <w:t xml:space="preserve"> and best practice</w:t>
            </w:r>
          </w:p>
          <w:p w:rsidR="00B36A98" w:rsidRPr="009D3AAB" w:rsidRDefault="0059627E" w:rsidP="00B36A98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</w:t>
            </w:r>
            <w:proofErr w:type="gramStart"/>
            <w:r w:rsidR="00547783" w:rsidRPr="009D3AAB">
              <w:rPr>
                <w:sz w:val="24"/>
                <w:szCs w:val="24"/>
                <w:lang w:val="en"/>
              </w:rPr>
              <w:t>s</w:t>
            </w:r>
            <w:r w:rsidR="00B36A98" w:rsidRPr="009D3AAB">
              <w:rPr>
                <w:sz w:val="24"/>
                <w:szCs w:val="24"/>
                <w:lang w:val="en"/>
              </w:rPr>
              <w:t>upport</w:t>
            </w:r>
            <w:proofErr w:type="gramEnd"/>
            <w:r w:rsidR="00B36A98" w:rsidRPr="009D3AAB">
              <w:rPr>
                <w:sz w:val="24"/>
                <w:szCs w:val="24"/>
                <w:lang w:val="en"/>
              </w:rPr>
              <w:t xml:space="preserve"> to the design, </w:t>
            </w:r>
            <w:r w:rsidR="007A2523" w:rsidRPr="009D3AAB">
              <w:rPr>
                <w:sz w:val="24"/>
                <w:szCs w:val="24"/>
                <w:lang w:val="en"/>
              </w:rPr>
              <w:t>implementation,</w:t>
            </w:r>
            <w:r w:rsidR="00C76AD8" w:rsidRPr="009D3AAB">
              <w:rPr>
                <w:sz w:val="24"/>
                <w:szCs w:val="24"/>
                <w:lang w:val="en"/>
              </w:rPr>
              <w:t xml:space="preserve"> monitoring and evaluation </w:t>
            </w:r>
            <w:r w:rsidR="00B36A98" w:rsidRPr="009D3AAB">
              <w:rPr>
                <w:sz w:val="24"/>
                <w:szCs w:val="24"/>
                <w:lang w:val="en"/>
              </w:rPr>
              <w:t>of national legal aid strategies</w:t>
            </w:r>
            <w:r w:rsidR="00C76AD8" w:rsidRPr="009D3AAB">
              <w:rPr>
                <w:sz w:val="24"/>
                <w:szCs w:val="24"/>
                <w:lang w:val="en"/>
              </w:rPr>
              <w:t>/</w:t>
            </w:r>
            <w:r w:rsidR="00547783" w:rsidRPr="009D3AAB">
              <w:rPr>
                <w:sz w:val="24"/>
                <w:szCs w:val="24"/>
                <w:lang w:val="en"/>
              </w:rPr>
              <w:t>p</w:t>
            </w:r>
            <w:r w:rsidR="00C76AD8" w:rsidRPr="009D3AAB">
              <w:rPr>
                <w:sz w:val="24"/>
                <w:szCs w:val="24"/>
                <w:lang w:val="en"/>
              </w:rPr>
              <w:t>lans</w:t>
            </w:r>
            <w:r w:rsidR="00B36A98" w:rsidRPr="009D3AAB">
              <w:rPr>
                <w:sz w:val="24"/>
                <w:szCs w:val="24"/>
                <w:lang w:val="en"/>
              </w:rPr>
              <w:t>.</w:t>
            </w:r>
          </w:p>
          <w:p w:rsidR="0059627E" w:rsidRPr="009D3AAB" w:rsidRDefault="00547783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>- s</w:t>
            </w:r>
            <w:r w:rsidR="0059627E" w:rsidRPr="009D3AAB">
              <w:rPr>
                <w:sz w:val="24"/>
                <w:szCs w:val="24"/>
                <w:lang w:val="en"/>
              </w:rPr>
              <w:t xml:space="preserve">upport </w:t>
            </w:r>
            <w:r w:rsidR="00916807" w:rsidRPr="009D3AAB">
              <w:rPr>
                <w:sz w:val="24"/>
                <w:szCs w:val="24"/>
                <w:lang w:val="en"/>
              </w:rPr>
              <w:t xml:space="preserve">for </w:t>
            </w:r>
            <w:r w:rsidR="0059627E" w:rsidRPr="009D3AAB">
              <w:rPr>
                <w:sz w:val="24"/>
                <w:szCs w:val="24"/>
                <w:lang w:val="en"/>
              </w:rPr>
              <w:t>the review and improvement of the legal aid legislative</w:t>
            </w:r>
            <w:r w:rsidR="00B36A98" w:rsidRPr="009D3AAB">
              <w:rPr>
                <w:sz w:val="24"/>
                <w:szCs w:val="24"/>
                <w:lang w:val="en"/>
              </w:rPr>
              <w:t>/regulatory</w:t>
            </w:r>
            <w:r w:rsidR="0059627E" w:rsidRPr="009D3AAB">
              <w:rPr>
                <w:sz w:val="24"/>
                <w:szCs w:val="24"/>
                <w:lang w:val="en"/>
              </w:rPr>
              <w:t xml:space="preserve"> and institutional framework</w:t>
            </w:r>
            <w:r w:rsidR="009D4B4C" w:rsidRPr="009D3AAB">
              <w:rPr>
                <w:sz w:val="24"/>
                <w:szCs w:val="24"/>
                <w:lang w:val="en"/>
              </w:rPr>
              <w:t xml:space="preserve">, including development of in-build transparency and accountability </w:t>
            </w:r>
            <w:r w:rsidR="009D4B4C" w:rsidRPr="009D3AAB">
              <w:rPr>
                <w:sz w:val="24"/>
                <w:szCs w:val="24"/>
                <w:lang w:val="en"/>
              </w:rPr>
              <w:lastRenderedPageBreak/>
              <w:t xml:space="preserve">mechanisms </w:t>
            </w:r>
          </w:p>
          <w:p w:rsidR="009D4B4C" w:rsidRPr="009D3AAB" w:rsidRDefault="009D4B4C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support </w:t>
            </w:r>
            <w:r w:rsidR="00945B0D" w:rsidRPr="009D3AAB">
              <w:rPr>
                <w:sz w:val="24"/>
                <w:szCs w:val="24"/>
                <w:lang w:val="en"/>
              </w:rPr>
              <w:t xml:space="preserve">to </w:t>
            </w:r>
            <w:r w:rsidRPr="009D3AAB">
              <w:rPr>
                <w:sz w:val="24"/>
                <w:szCs w:val="24"/>
                <w:lang w:val="en"/>
              </w:rPr>
              <w:t>capacity building of  the legal aid providers</w:t>
            </w:r>
            <w:r w:rsidR="007A2523" w:rsidRPr="009D3AAB">
              <w:rPr>
                <w:sz w:val="24"/>
                <w:szCs w:val="24"/>
                <w:lang w:val="en"/>
              </w:rPr>
              <w:t xml:space="preserve"> to deliver services in line with </w:t>
            </w:r>
            <w:r w:rsidR="00547783" w:rsidRPr="009D3AAB">
              <w:rPr>
                <w:sz w:val="24"/>
                <w:szCs w:val="24"/>
                <w:lang w:val="en"/>
              </w:rPr>
              <w:t>international standards and best practice</w:t>
            </w:r>
          </w:p>
          <w:p w:rsidR="0059627E" w:rsidRPr="009D3AAB" w:rsidRDefault="0059627E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>- promote cooperation and coordination bet</w:t>
            </w:r>
            <w:r w:rsidR="009D3AAB">
              <w:rPr>
                <w:sz w:val="24"/>
                <w:szCs w:val="24"/>
                <w:lang w:val="en"/>
              </w:rPr>
              <w:t>ween the legal  aid providers</w:t>
            </w:r>
          </w:p>
          <w:p w:rsidR="00547783" w:rsidRPr="009D3AAB" w:rsidRDefault="007A2523" w:rsidP="00C76AD8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</w:t>
            </w:r>
            <w:r w:rsidR="00547783" w:rsidRPr="009D3AAB">
              <w:rPr>
                <w:sz w:val="24"/>
                <w:szCs w:val="24"/>
                <w:lang w:val="en"/>
              </w:rPr>
              <w:t>p</w:t>
            </w:r>
            <w:r w:rsidR="00C76AD8" w:rsidRPr="009D3AAB">
              <w:rPr>
                <w:sz w:val="24"/>
                <w:szCs w:val="24"/>
                <w:lang w:val="en"/>
              </w:rPr>
              <w:t>romotion of the pro-bono provision of legal aid , particularly by lawyers/bar associations</w:t>
            </w:r>
          </w:p>
          <w:p w:rsidR="00515753" w:rsidRPr="009D3AAB" w:rsidRDefault="00547783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>- s</w:t>
            </w:r>
            <w:r w:rsidR="009D4B4C" w:rsidRPr="009D3AAB">
              <w:rPr>
                <w:sz w:val="24"/>
                <w:szCs w:val="24"/>
                <w:lang w:val="en"/>
              </w:rPr>
              <w:t>upport</w:t>
            </w:r>
            <w:r w:rsidRPr="009D3AAB">
              <w:rPr>
                <w:sz w:val="24"/>
                <w:szCs w:val="24"/>
                <w:lang w:val="en"/>
              </w:rPr>
              <w:t xml:space="preserve"> to </w:t>
            </w:r>
            <w:r w:rsidR="009D4B4C" w:rsidRPr="009D3AAB">
              <w:rPr>
                <w:sz w:val="24"/>
                <w:szCs w:val="24"/>
                <w:lang w:val="en"/>
              </w:rPr>
              <w:t xml:space="preserve"> public information</w:t>
            </w:r>
            <w:r w:rsidRPr="009D3AAB">
              <w:rPr>
                <w:sz w:val="24"/>
                <w:szCs w:val="24"/>
                <w:lang w:val="en"/>
              </w:rPr>
              <w:t xml:space="preserve"> / sensitization</w:t>
            </w:r>
            <w:r w:rsidR="009D4B4C" w:rsidRPr="009D3AAB">
              <w:rPr>
                <w:sz w:val="24"/>
                <w:szCs w:val="24"/>
                <w:lang w:val="en"/>
              </w:rPr>
              <w:t xml:space="preserve"> campaigns  aimed at increasing legal awareness among the population</w:t>
            </w:r>
            <w:r w:rsidR="00D90D41" w:rsidRPr="009D3AAB">
              <w:rPr>
                <w:sz w:val="24"/>
                <w:szCs w:val="24"/>
                <w:lang w:val="en"/>
              </w:rPr>
              <w:t>, understanding of justice system</w:t>
            </w:r>
            <w:r w:rsidR="009D4B4C" w:rsidRPr="009D3AAB">
              <w:rPr>
                <w:sz w:val="24"/>
                <w:szCs w:val="24"/>
                <w:lang w:val="en"/>
              </w:rPr>
              <w:t xml:space="preserve"> and popularization of legal aid services</w:t>
            </w:r>
          </w:p>
          <w:p w:rsidR="003D2E78" w:rsidRPr="009D3AAB" w:rsidRDefault="003D2E78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support </w:t>
            </w:r>
            <w:r w:rsidR="00547783" w:rsidRPr="009D3AAB">
              <w:rPr>
                <w:sz w:val="24"/>
                <w:szCs w:val="24"/>
                <w:lang w:val="en"/>
              </w:rPr>
              <w:t xml:space="preserve">to </w:t>
            </w:r>
            <w:r w:rsidRPr="009D3AAB">
              <w:rPr>
                <w:sz w:val="24"/>
                <w:szCs w:val="24"/>
                <w:lang w:val="en"/>
              </w:rPr>
              <w:t>alternative dispute resolution</w:t>
            </w:r>
          </w:p>
          <w:p w:rsidR="00547783" w:rsidRPr="009D3AAB" w:rsidRDefault="00547783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>- advocacy support</w:t>
            </w:r>
            <w:r w:rsidR="00027794" w:rsidRPr="009D3AAB">
              <w:rPr>
                <w:sz w:val="24"/>
                <w:szCs w:val="24"/>
                <w:lang w:val="en"/>
              </w:rPr>
              <w:t xml:space="preserve"> </w:t>
            </w:r>
          </w:p>
          <w:p w:rsidR="00DA45BB" w:rsidRPr="009D3AAB" w:rsidRDefault="009D4B4C" w:rsidP="00D55B75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- other </w:t>
            </w:r>
            <w:r w:rsidR="003D2E78" w:rsidRPr="009D3AAB">
              <w:rPr>
                <w:sz w:val="24"/>
                <w:szCs w:val="24"/>
                <w:lang w:val="en"/>
              </w:rPr>
              <w:t>support facilitating  the access to and provision of legal aid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9D3AAB" w:rsidRDefault="00322F21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22F21" w:rsidRPr="002C6871" w:rsidTr="00862B80">
        <w:tc>
          <w:tcPr>
            <w:tcW w:w="3510" w:type="dxa"/>
            <w:shd w:val="pct10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4. Rationale (including which policy priority, and how is this indicator linked to that policy priority)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A52E05" w:rsidRPr="009D3AAB" w:rsidRDefault="0006363D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 xml:space="preserve">One of the objectives of the EU external action is to develop and consolidate democracy and the rule of law, respect for human rights and fundamental freedoms. </w:t>
            </w:r>
            <w:r w:rsidR="003422C8">
              <w:rPr>
                <w:sz w:val="24"/>
                <w:szCs w:val="24"/>
                <w:lang w:val="en"/>
              </w:rPr>
              <w:t xml:space="preserve">With </w:t>
            </w:r>
            <w:r w:rsidR="003422C8" w:rsidRPr="003422C8">
              <w:rPr>
                <w:sz w:val="24"/>
                <w:szCs w:val="24"/>
                <w:lang w:val="en"/>
              </w:rPr>
              <w:t xml:space="preserve">article 21 of the Lisbon </w:t>
            </w:r>
            <w:r w:rsidR="00A52E05" w:rsidRPr="003422C8">
              <w:rPr>
                <w:sz w:val="24"/>
                <w:szCs w:val="24"/>
                <w:lang w:val="en"/>
              </w:rPr>
              <w:t>Treaty</w:t>
            </w:r>
            <w:r w:rsidR="00A52E05" w:rsidRPr="009D3AAB">
              <w:rPr>
                <w:sz w:val="24"/>
                <w:szCs w:val="24"/>
                <w:lang w:val="en"/>
              </w:rPr>
              <w:t xml:space="preserve"> the EU</w:t>
            </w:r>
            <w:r w:rsidRPr="009D3AAB">
              <w:rPr>
                <w:sz w:val="24"/>
                <w:szCs w:val="24"/>
                <w:lang w:val="en"/>
              </w:rPr>
              <w:t xml:space="preserve"> received a clear mandate to support democracy and human rights worldwide. </w:t>
            </w:r>
            <w:r w:rsidR="00A52E05" w:rsidRPr="009D3AAB">
              <w:rPr>
                <w:b/>
                <w:sz w:val="24"/>
                <w:szCs w:val="24"/>
                <w:lang w:val="en"/>
              </w:rPr>
              <w:t>The Charter of the Fundamental Rights of the E</w:t>
            </w:r>
            <w:r w:rsidR="008D710E" w:rsidRPr="009D3AAB">
              <w:rPr>
                <w:b/>
                <w:sz w:val="24"/>
                <w:szCs w:val="24"/>
                <w:lang w:val="en"/>
              </w:rPr>
              <w:t>uropean Union</w:t>
            </w:r>
            <w:r w:rsidR="00A52E05" w:rsidRPr="009D3AAB">
              <w:rPr>
                <w:sz w:val="24"/>
                <w:szCs w:val="24"/>
                <w:lang w:val="en"/>
              </w:rPr>
              <w:t xml:space="preserve"> is binding on the European Institutions in internal and external policies. This translated into a legal obligation to ensure that in all its actions, the EU promotes and respects human rights and fundamental freedoms as enshrined in the </w:t>
            </w:r>
            <w:r w:rsidR="000D495C" w:rsidRPr="009D3AAB">
              <w:rPr>
                <w:sz w:val="24"/>
                <w:szCs w:val="24"/>
                <w:lang w:val="en"/>
              </w:rPr>
              <w:t>C</w:t>
            </w:r>
            <w:r w:rsidR="00A52E05" w:rsidRPr="009D3AAB">
              <w:rPr>
                <w:sz w:val="24"/>
                <w:szCs w:val="24"/>
                <w:lang w:val="en"/>
              </w:rPr>
              <w:t>harter.</w:t>
            </w:r>
            <w:r w:rsidR="000D495C" w:rsidRPr="009D3AAB">
              <w:rPr>
                <w:sz w:val="24"/>
                <w:szCs w:val="24"/>
                <w:lang w:val="en"/>
              </w:rPr>
              <w:t xml:space="preserve"> </w:t>
            </w:r>
            <w:r w:rsidR="00EE75DA">
              <w:rPr>
                <w:sz w:val="24"/>
                <w:szCs w:val="24"/>
                <w:lang w:val="en"/>
              </w:rPr>
              <w:t xml:space="preserve">The </w:t>
            </w:r>
            <w:r w:rsidR="00EE75DA">
              <w:rPr>
                <w:rFonts w:cs="Calibri"/>
                <w:sz w:val="24"/>
                <w:szCs w:val="24"/>
              </w:rPr>
              <w:t>European Commission's Communication</w:t>
            </w:r>
            <w:r w:rsidR="00307ADD">
              <w:rPr>
                <w:rFonts w:cs="Calibri"/>
                <w:sz w:val="24"/>
                <w:szCs w:val="24"/>
              </w:rPr>
              <w:t>:</w:t>
            </w:r>
            <w:bookmarkStart w:id="0" w:name="_GoBack"/>
            <w:bookmarkEnd w:id="0"/>
            <w:r w:rsidR="00EE75DA" w:rsidRPr="009D3AAB">
              <w:rPr>
                <w:b/>
                <w:sz w:val="24"/>
                <w:szCs w:val="24"/>
                <w:lang w:val="en"/>
              </w:rPr>
              <w:t xml:space="preserve"> </w:t>
            </w:r>
            <w:r w:rsidR="000D495C" w:rsidRPr="009D3AAB">
              <w:rPr>
                <w:b/>
                <w:sz w:val="24"/>
                <w:szCs w:val="24"/>
                <w:lang w:val="en"/>
              </w:rPr>
              <w:t>Agenda for Change</w:t>
            </w:r>
            <w:r w:rsidR="00945B0D" w:rsidRPr="009D3AAB">
              <w:rPr>
                <w:b/>
                <w:sz w:val="24"/>
                <w:szCs w:val="24"/>
                <w:lang w:val="en"/>
              </w:rPr>
              <w:t xml:space="preserve"> </w:t>
            </w:r>
            <w:r w:rsidR="003422C8">
              <w:rPr>
                <w:sz w:val="24"/>
                <w:szCs w:val="24"/>
                <w:lang w:val="en"/>
              </w:rPr>
              <w:t>(</w:t>
            </w:r>
            <w:r w:rsidR="00945B0D" w:rsidRPr="009D3AAB">
              <w:rPr>
                <w:sz w:val="24"/>
                <w:szCs w:val="24"/>
                <w:lang w:val="en"/>
              </w:rPr>
              <w:t>2011)</w:t>
            </w:r>
            <w:r w:rsidR="000D495C" w:rsidRPr="009D3AAB">
              <w:rPr>
                <w:sz w:val="24"/>
                <w:szCs w:val="24"/>
                <w:lang w:val="en"/>
              </w:rPr>
              <w:t xml:space="preserve"> highlighted </w:t>
            </w:r>
            <w:r w:rsidR="000D495C" w:rsidRPr="009D3AA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human rights, democracy and other key elements of good governance as one of the two focus areas for the future development cooperation.</w:t>
            </w:r>
            <w:r w:rsidR="00C76AD8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1434F8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</w:t>
            </w:r>
            <w:r w:rsidR="007A2523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Joint Communication </w:t>
            </w:r>
            <w:r w:rsidR="00945B0D" w:rsidRPr="009D3AA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‘</w:t>
            </w:r>
            <w:r w:rsidR="007A2523" w:rsidRPr="009D3AA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Human Rights and Democracy at the heart of EU External Action towards a more effective approach</w:t>
            </w:r>
            <w:r w:rsidR="00945B0D" w:rsidRPr="009D3AA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’</w:t>
            </w:r>
            <w:r w:rsidR="003422C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r w:rsidR="00945B0D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2012)</w:t>
            </w:r>
            <w:r w:rsidR="007A2523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6A3FEF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underlines</w:t>
            </w:r>
            <w:r w:rsidR="00C76AD8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respect for the rule of law, including access to justice and the right to a fair trial, is essential for the protection of human rights and democratic principles</w:t>
            </w:r>
            <w:r w:rsidR="001434F8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  <w:r w:rsidR="00945B0D" w:rsidRPr="009D3AA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this regard, </w:t>
            </w:r>
            <w:r w:rsidR="00945B0D" w:rsidRPr="009D3AA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l</w:t>
            </w:r>
            <w:r w:rsidRPr="009D3AA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egal aid is </w:t>
            </w:r>
            <w:r w:rsidR="008D710E" w:rsidRPr="009D3AAB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considered </w:t>
            </w:r>
            <w:r w:rsidRPr="009D3AAB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 central in providing access to justice by ensuring</w:t>
            </w:r>
            <w:r w:rsidRPr="009D3AAB">
              <w:rPr>
                <w:sz w:val="24"/>
                <w:szCs w:val="24"/>
                <w:lang w:val="en"/>
              </w:rPr>
              <w:t xml:space="preserve"> </w:t>
            </w:r>
            <w:hyperlink r:id="rId7" w:tooltip="Equality before the law" w:history="1">
              <w:r w:rsidRPr="009D3AAB">
                <w:rPr>
                  <w:sz w:val="24"/>
                  <w:szCs w:val="24"/>
                </w:rPr>
                <w:t>equality before the law</w:t>
              </w:r>
            </w:hyperlink>
            <w:r w:rsidRPr="009D3AAB">
              <w:rPr>
                <w:sz w:val="24"/>
                <w:szCs w:val="24"/>
                <w:lang w:val="en"/>
              </w:rPr>
              <w:t xml:space="preserve">, the </w:t>
            </w:r>
            <w:hyperlink r:id="rId8" w:tooltip="Right to counsel" w:history="1">
              <w:r w:rsidRPr="009D3AAB">
                <w:rPr>
                  <w:sz w:val="24"/>
                  <w:szCs w:val="24"/>
                </w:rPr>
                <w:t>right to counsel</w:t>
              </w:r>
            </w:hyperlink>
            <w:r w:rsidRPr="009D3AAB">
              <w:rPr>
                <w:sz w:val="24"/>
                <w:szCs w:val="24"/>
                <w:lang w:val="en"/>
              </w:rPr>
              <w:t xml:space="preserve"> and the </w:t>
            </w:r>
            <w:hyperlink r:id="rId9" w:tooltip="Right to a fair trial" w:history="1">
              <w:r w:rsidRPr="009D3AAB">
                <w:rPr>
                  <w:sz w:val="24"/>
                  <w:szCs w:val="24"/>
                </w:rPr>
                <w:t>right to a fair trial</w:t>
              </w:r>
            </w:hyperlink>
            <w:r w:rsidRPr="009D3AAB">
              <w:rPr>
                <w:sz w:val="24"/>
                <w:szCs w:val="24"/>
                <w:lang w:val="en"/>
              </w:rPr>
              <w:t xml:space="preserve">. </w:t>
            </w:r>
          </w:p>
          <w:p w:rsidR="00322F21" w:rsidRPr="009D3AAB" w:rsidRDefault="00BC213A" w:rsidP="007C1259">
            <w:pPr>
              <w:spacing w:before="120" w:after="120"/>
              <w:jc w:val="both"/>
              <w:rPr>
                <w:sz w:val="24"/>
                <w:szCs w:val="24"/>
                <w:lang w:val="en"/>
              </w:rPr>
            </w:pPr>
            <w:r w:rsidRPr="009D3AAB">
              <w:rPr>
                <w:sz w:val="24"/>
                <w:szCs w:val="24"/>
                <w:lang w:val="en"/>
              </w:rPr>
              <w:t>EU strategic o</w:t>
            </w:r>
            <w:r w:rsidR="00022802" w:rsidRPr="009D3AAB">
              <w:rPr>
                <w:sz w:val="24"/>
                <w:szCs w:val="24"/>
                <w:lang w:val="en"/>
              </w:rPr>
              <w:t>r policy documents:</w:t>
            </w:r>
            <w:r w:rsidR="00CC5D07" w:rsidRPr="009D3AAB">
              <w:rPr>
                <w:sz w:val="24"/>
                <w:szCs w:val="24"/>
                <w:lang w:val="en"/>
              </w:rPr>
              <w:t xml:space="preserve"> Support to Justice and Rule of </w:t>
            </w:r>
            <w:r w:rsidR="00CC5D07" w:rsidRPr="009D3AAB">
              <w:rPr>
                <w:sz w:val="24"/>
                <w:szCs w:val="24"/>
                <w:lang w:val="en"/>
              </w:rPr>
              <w:lastRenderedPageBreak/>
              <w:t>Law</w:t>
            </w:r>
          </w:p>
          <w:p w:rsidR="00022802" w:rsidRPr="00D86882" w:rsidRDefault="00307ADD" w:rsidP="00CC5D07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D86882" w:rsidRPr="00D86882">
                <w:rPr>
                  <w:rStyle w:val="Hyperlink"/>
                  <w:sz w:val="24"/>
                  <w:szCs w:val="24"/>
                </w:rPr>
                <w:t>http://bookshop.europa.eu/en/support-to-justice-and-the-rule-of-law-pbMNBB12002/</w:t>
              </w:r>
            </w:hyperlink>
            <w:r w:rsidR="00D86882" w:rsidRPr="00D86882">
              <w:rPr>
                <w:sz w:val="24"/>
                <w:szCs w:val="24"/>
              </w:rPr>
              <w:t xml:space="preserve"> </w:t>
            </w:r>
          </w:p>
          <w:p w:rsidR="00CC5D07" w:rsidRPr="009D3AAB" w:rsidRDefault="00CC5D07" w:rsidP="00CC5D07">
            <w:pPr>
              <w:spacing w:before="120" w:after="120"/>
              <w:ind w:left="-19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UN strategic or policy documents: UN principles and Guidelines on Access to Legal Aid in Criminal Justice Systems</w:t>
            </w:r>
          </w:p>
          <w:p w:rsidR="00CC5D07" w:rsidRPr="009D3AAB" w:rsidRDefault="00CC5D07" w:rsidP="00CC5D07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9D3AAB">
              <w:rPr>
                <w:rStyle w:val="Hyperlink"/>
                <w:sz w:val="24"/>
                <w:szCs w:val="24"/>
              </w:rPr>
              <w:t>http://www.unodc.org/documents/justice-and-prison-reform/UN_principles_and_guidlines_on_access_to_legal_aid.pdf</w:t>
            </w:r>
          </w:p>
        </w:tc>
      </w:tr>
      <w:tr w:rsidR="00322F21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2C6871" w:rsidRDefault="00322F21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21" w:rsidRPr="009D3AAB" w:rsidRDefault="00322F21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  <w:vAlign w:val="center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5. Level of disaggregation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E67714" w:rsidRPr="009D3AAB" w:rsidRDefault="00BB3F1F" w:rsidP="00BB3F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 xml:space="preserve">Beneficiaries should be </w:t>
            </w:r>
            <w:r w:rsidR="00331778" w:rsidRPr="009D3AAB">
              <w:rPr>
                <w:sz w:val="24"/>
                <w:szCs w:val="24"/>
              </w:rPr>
              <w:t>disaggregated by sex</w:t>
            </w:r>
            <w:r w:rsidR="003422C8">
              <w:rPr>
                <w:sz w:val="24"/>
                <w:szCs w:val="24"/>
              </w:rPr>
              <w:t>.</w:t>
            </w:r>
          </w:p>
          <w:p w:rsidR="00BB3F1F" w:rsidRPr="009D3AAB" w:rsidRDefault="00BB3F1F" w:rsidP="007F648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Where</w:t>
            </w:r>
            <w:r w:rsidR="00FD148B">
              <w:rPr>
                <w:sz w:val="24"/>
                <w:szCs w:val="24"/>
              </w:rPr>
              <w:t xml:space="preserve"> possible/easily available, disaggregation by age </w:t>
            </w:r>
            <w:r w:rsidR="007F6488">
              <w:rPr>
                <w:sz w:val="24"/>
                <w:szCs w:val="24"/>
              </w:rPr>
              <w:t xml:space="preserve">band/bracket </w:t>
            </w:r>
            <w:r w:rsidR="00FD148B">
              <w:rPr>
                <w:sz w:val="24"/>
                <w:szCs w:val="24"/>
              </w:rPr>
              <w:t xml:space="preserve">and </w:t>
            </w:r>
            <w:r w:rsidRPr="009D3AAB">
              <w:rPr>
                <w:sz w:val="24"/>
                <w:szCs w:val="24"/>
              </w:rPr>
              <w:t>type</w:t>
            </w:r>
            <w:r w:rsidR="00DE7E2F">
              <w:rPr>
                <w:sz w:val="24"/>
                <w:szCs w:val="24"/>
              </w:rPr>
              <w:t xml:space="preserve"> of legal issue (i.e.</w:t>
            </w:r>
            <w:r w:rsidRPr="009D3AAB">
              <w:rPr>
                <w:sz w:val="24"/>
                <w:szCs w:val="24"/>
              </w:rPr>
              <w:t xml:space="preserve"> civil, cr</w:t>
            </w:r>
            <w:r w:rsidR="007F6488">
              <w:rPr>
                <w:sz w:val="24"/>
                <w:szCs w:val="24"/>
              </w:rPr>
              <w:t>iminal or administrative) could</w:t>
            </w:r>
            <w:r w:rsidRPr="009D3AAB">
              <w:rPr>
                <w:sz w:val="24"/>
                <w:szCs w:val="24"/>
              </w:rPr>
              <w:t xml:space="preserve"> also be provided</w:t>
            </w:r>
            <w:r w:rsidR="00DE7E2F">
              <w:rPr>
                <w:sz w:val="24"/>
                <w:szCs w:val="24"/>
              </w:rPr>
              <w:t>.</w:t>
            </w: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9D3AAB" w:rsidRDefault="00E46883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184CE4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6. Data Sources (including any issues on (</w:t>
            </w:r>
            <w:proofErr w:type="spellStart"/>
            <w:r w:rsidRPr="002C68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C6871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different definitions by source</w:t>
            </w:r>
            <w:r w:rsidRPr="002C6871">
              <w:rPr>
                <w:color w:val="000000"/>
                <w:sz w:val="24"/>
                <w:szCs w:val="24"/>
              </w:rPr>
              <w:t>, and (ii) level of availability of the data)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E46883" w:rsidRPr="009D3AAB" w:rsidRDefault="00E46883" w:rsidP="007C1259">
            <w:pPr>
              <w:tabs>
                <w:tab w:val="left" w:pos="2410"/>
              </w:tabs>
              <w:spacing w:before="120" w:after="120"/>
              <w:ind w:left="341" w:hanging="341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1.</w:t>
            </w:r>
            <w:r w:rsidRPr="009D3AAB">
              <w:rPr>
                <w:sz w:val="24"/>
                <w:szCs w:val="24"/>
              </w:rPr>
              <w:tab/>
              <w:t xml:space="preserve">National </w:t>
            </w:r>
            <w:r w:rsidR="00DE7E2F">
              <w:rPr>
                <w:sz w:val="24"/>
                <w:szCs w:val="24"/>
              </w:rPr>
              <w:t>justice s</w:t>
            </w:r>
            <w:r w:rsidR="000D495C" w:rsidRPr="009D3AAB">
              <w:rPr>
                <w:sz w:val="24"/>
                <w:szCs w:val="24"/>
              </w:rPr>
              <w:t xml:space="preserve">trategies </w:t>
            </w:r>
            <w:r w:rsidR="00DE7E2F">
              <w:rPr>
                <w:sz w:val="24"/>
                <w:szCs w:val="24"/>
              </w:rPr>
              <w:t>d</w:t>
            </w:r>
            <w:r w:rsidRPr="009D3AAB">
              <w:rPr>
                <w:sz w:val="24"/>
                <w:szCs w:val="24"/>
              </w:rPr>
              <w:t>atabase data</w:t>
            </w:r>
          </w:p>
          <w:p w:rsidR="001434F8" w:rsidRPr="009D3AAB" w:rsidRDefault="001434F8" w:rsidP="001434F8">
            <w:pPr>
              <w:tabs>
                <w:tab w:val="left" w:pos="2410"/>
              </w:tabs>
              <w:spacing w:before="120" w:after="120"/>
              <w:ind w:left="341" w:hanging="341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 xml:space="preserve">2.  </w:t>
            </w:r>
            <w:r w:rsidR="00945B0D" w:rsidRPr="009D3AAB">
              <w:rPr>
                <w:sz w:val="24"/>
                <w:szCs w:val="24"/>
              </w:rPr>
              <w:t xml:space="preserve"> </w:t>
            </w:r>
            <w:r w:rsidR="00DE7E2F">
              <w:rPr>
                <w:sz w:val="24"/>
                <w:szCs w:val="24"/>
              </w:rPr>
              <w:t>Judicial s</w:t>
            </w:r>
            <w:r w:rsidRPr="009D3AAB">
              <w:rPr>
                <w:sz w:val="24"/>
                <w:szCs w:val="24"/>
              </w:rPr>
              <w:t>tatistics (if available);</w:t>
            </w:r>
          </w:p>
          <w:p w:rsidR="00E46883" w:rsidRPr="009D3AAB" w:rsidRDefault="006A3FEF" w:rsidP="007C1259">
            <w:pPr>
              <w:tabs>
                <w:tab w:val="left" w:pos="2410"/>
              </w:tabs>
              <w:spacing w:before="120" w:after="120"/>
              <w:ind w:left="341" w:hanging="341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3</w:t>
            </w:r>
            <w:r w:rsidR="00E46883" w:rsidRPr="009D3AAB">
              <w:rPr>
                <w:sz w:val="24"/>
                <w:szCs w:val="24"/>
              </w:rPr>
              <w:t>.</w:t>
            </w:r>
            <w:r w:rsidR="00E46883" w:rsidRPr="009D3AAB">
              <w:rPr>
                <w:sz w:val="24"/>
                <w:szCs w:val="24"/>
              </w:rPr>
              <w:tab/>
            </w:r>
            <w:r w:rsidR="00DE7E2F">
              <w:rPr>
                <w:sz w:val="24"/>
                <w:szCs w:val="24"/>
              </w:rPr>
              <w:t xml:space="preserve">National legal aid policy </w:t>
            </w:r>
            <w:r w:rsidR="0061445E" w:rsidRPr="009D3AAB">
              <w:rPr>
                <w:sz w:val="24"/>
                <w:szCs w:val="24"/>
              </w:rPr>
              <w:t xml:space="preserve">and corresponding </w:t>
            </w:r>
            <w:r w:rsidR="00E46883" w:rsidRPr="009D3AAB">
              <w:rPr>
                <w:sz w:val="24"/>
                <w:szCs w:val="24"/>
              </w:rPr>
              <w:t xml:space="preserve"> reports</w:t>
            </w:r>
            <w:r w:rsidR="0061445E" w:rsidRPr="009D3AAB">
              <w:rPr>
                <w:sz w:val="24"/>
                <w:szCs w:val="24"/>
              </w:rPr>
              <w:t xml:space="preserve"> (if </w:t>
            </w:r>
            <w:r w:rsidR="00027794" w:rsidRPr="009D3AAB">
              <w:rPr>
                <w:sz w:val="24"/>
                <w:szCs w:val="24"/>
              </w:rPr>
              <w:t>available</w:t>
            </w:r>
            <w:r w:rsidR="0061445E" w:rsidRPr="009D3AAB">
              <w:rPr>
                <w:sz w:val="24"/>
                <w:szCs w:val="24"/>
              </w:rPr>
              <w:t>)</w:t>
            </w:r>
          </w:p>
          <w:p w:rsidR="00E46883" w:rsidRPr="009D3AAB" w:rsidRDefault="006A3FEF" w:rsidP="0061445E">
            <w:pPr>
              <w:tabs>
                <w:tab w:val="left" w:pos="2127"/>
                <w:tab w:val="left" w:pos="2410"/>
              </w:tabs>
              <w:spacing w:before="120" w:after="120"/>
              <w:ind w:left="341" w:hanging="341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4</w:t>
            </w:r>
            <w:r w:rsidR="00E46883" w:rsidRPr="009D3AAB">
              <w:rPr>
                <w:sz w:val="24"/>
                <w:szCs w:val="24"/>
              </w:rPr>
              <w:t>.</w:t>
            </w:r>
            <w:r w:rsidR="00E46883" w:rsidRPr="009D3AAB">
              <w:rPr>
                <w:sz w:val="24"/>
                <w:szCs w:val="24"/>
              </w:rPr>
              <w:tab/>
            </w:r>
            <w:r w:rsidR="0061445E" w:rsidRPr="009D3AAB">
              <w:rPr>
                <w:sz w:val="24"/>
                <w:szCs w:val="24"/>
              </w:rPr>
              <w:t>Min</w:t>
            </w:r>
            <w:r w:rsidR="007A02E7">
              <w:rPr>
                <w:sz w:val="24"/>
                <w:szCs w:val="24"/>
              </w:rPr>
              <w:t>istry of Justice annual reports; bar a</w:t>
            </w:r>
            <w:r w:rsidR="001434F8" w:rsidRPr="009D3AAB">
              <w:rPr>
                <w:sz w:val="24"/>
                <w:szCs w:val="24"/>
              </w:rPr>
              <w:t>ssociation’s reports</w:t>
            </w:r>
          </w:p>
          <w:p w:rsidR="0061445E" w:rsidRPr="009D3AAB" w:rsidRDefault="006A3FEF" w:rsidP="00614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5</w:t>
            </w:r>
            <w:r w:rsidR="0061445E" w:rsidRPr="009D3AAB">
              <w:rPr>
                <w:sz w:val="24"/>
                <w:szCs w:val="24"/>
              </w:rPr>
              <w:t xml:space="preserve">.   </w:t>
            </w:r>
            <w:r w:rsidR="0061445E" w:rsidRPr="009D3AAB">
              <w:rPr>
                <w:sz w:val="24"/>
                <w:szCs w:val="24"/>
                <w:lang w:val="en"/>
              </w:rPr>
              <w:t>EU Project and</w:t>
            </w:r>
            <w:r w:rsidR="007A02E7">
              <w:rPr>
                <w:sz w:val="24"/>
                <w:szCs w:val="24"/>
                <w:lang w:val="en"/>
              </w:rPr>
              <w:t xml:space="preserve"> programme monitoring systems: annual and final r</w:t>
            </w:r>
            <w:r w:rsidR="0061445E" w:rsidRPr="009D3AAB">
              <w:rPr>
                <w:sz w:val="24"/>
                <w:szCs w:val="24"/>
                <w:lang w:val="en"/>
              </w:rPr>
              <w:t>eports from implementing organisations, (governments, international organisations, non-state actors), baseline surveys, ROM mid-term reviews, and evaluations.</w:t>
            </w:r>
            <w:r w:rsidR="0061445E" w:rsidRPr="009D3AAB">
              <w:rPr>
                <w:sz w:val="24"/>
                <w:szCs w:val="24"/>
              </w:rPr>
              <w:t xml:space="preserve"> </w:t>
            </w:r>
          </w:p>
          <w:p w:rsidR="0061445E" w:rsidRPr="009D3AAB" w:rsidRDefault="0061445E" w:rsidP="0061445E">
            <w:pPr>
              <w:tabs>
                <w:tab w:val="left" w:pos="2127"/>
                <w:tab w:val="left" w:pos="2410"/>
              </w:tabs>
              <w:spacing w:before="120" w:after="120"/>
              <w:ind w:left="341" w:hanging="341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  <w:lang w:val="en"/>
              </w:rPr>
              <w:t>Final figures may be approximations and estim</w:t>
            </w:r>
            <w:r w:rsidR="00E67714" w:rsidRPr="009D3AAB">
              <w:rPr>
                <w:sz w:val="24"/>
                <w:szCs w:val="24"/>
                <w:lang w:val="en"/>
              </w:rPr>
              <w:t>ates, for example estimates by NGOs</w:t>
            </w:r>
          </w:p>
        </w:tc>
      </w:tr>
      <w:tr w:rsidR="00E46883" w:rsidRPr="00184CE4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0D495C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9D3AAB" w:rsidRDefault="00E46883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7. Data calculation (including any assumptions made)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CC5D07" w:rsidRPr="009D3AAB" w:rsidRDefault="00CC5D07" w:rsidP="00E67714">
            <w:pPr>
              <w:tabs>
                <w:tab w:val="left" w:pos="1049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D3AAB">
              <w:rPr>
                <w:rFonts w:cs="Arial"/>
                <w:bCs/>
                <w:sz w:val="24"/>
                <w:szCs w:val="24"/>
                <w:u w:val="single"/>
                <w:lang w:eastAsia="en-GB"/>
              </w:rPr>
              <w:t>N</w:t>
            </w:r>
            <w:r w:rsidRPr="009D3AAB">
              <w:rPr>
                <w:sz w:val="24"/>
                <w:szCs w:val="24"/>
                <w:u w:val="single"/>
              </w:rPr>
              <w:t>umber of people benefitting from legal aid programmes supported by the EU</w:t>
            </w:r>
            <w:r w:rsidR="007A02E7">
              <w:rPr>
                <w:sz w:val="24"/>
                <w:szCs w:val="24"/>
              </w:rPr>
              <w:t xml:space="preserve"> – aggr</w:t>
            </w:r>
            <w:r w:rsidRPr="009D3AAB">
              <w:rPr>
                <w:sz w:val="24"/>
                <w:szCs w:val="24"/>
              </w:rPr>
              <w:t>e</w:t>
            </w:r>
            <w:r w:rsidR="007A02E7">
              <w:rPr>
                <w:sz w:val="24"/>
                <w:szCs w:val="24"/>
              </w:rPr>
              <w:t>gate</w:t>
            </w:r>
            <w:r w:rsidRPr="009D3AAB">
              <w:rPr>
                <w:sz w:val="24"/>
                <w:szCs w:val="24"/>
              </w:rPr>
              <w:t xml:space="preserve"> number of </w:t>
            </w:r>
            <w:r w:rsidR="007A02E7">
              <w:rPr>
                <w:sz w:val="24"/>
                <w:szCs w:val="24"/>
              </w:rPr>
              <w:t xml:space="preserve">direct </w:t>
            </w:r>
            <w:r w:rsidRPr="009D3AAB">
              <w:rPr>
                <w:sz w:val="24"/>
                <w:szCs w:val="24"/>
              </w:rPr>
              <w:t xml:space="preserve">beneficiaries as </w:t>
            </w:r>
            <w:r w:rsidR="001D36A8" w:rsidRPr="009D3AAB">
              <w:rPr>
                <w:sz w:val="24"/>
                <w:szCs w:val="24"/>
              </w:rPr>
              <w:t>described i</w:t>
            </w:r>
            <w:r w:rsidRPr="009D3AAB">
              <w:rPr>
                <w:sz w:val="24"/>
                <w:szCs w:val="24"/>
              </w:rPr>
              <w:t>n part 3</w:t>
            </w:r>
          </w:p>
          <w:p w:rsidR="00E46883" w:rsidRPr="009D3AAB" w:rsidRDefault="00E46883" w:rsidP="006E533A">
            <w:pPr>
              <w:tabs>
                <w:tab w:val="left" w:pos="1049"/>
              </w:tabs>
              <w:autoSpaceDE w:val="0"/>
              <w:autoSpaceDN w:val="0"/>
              <w:adjustRightInd w:val="0"/>
              <w:spacing w:before="120" w:after="120" w:line="240" w:lineRule="auto"/>
              <w:ind w:left="1475" w:hanging="1475"/>
              <w:jc w:val="both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9D3AAB" w:rsidRDefault="00E46883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8. Worked examples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7A7C9A" w:rsidRPr="009D3AAB" w:rsidRDefault="00916807" w:rsidP="007C12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D3AAB">
              <w:rPr>
                <w:rFonts w:cs="Arial"/>
                <w:bCs/>
                <w:sz w:val="24"/>
                <w:szCs w:val="24"/>
                <w:u w:val="single"/>
                <w:lang w:eastAsia="en-GB"/>
              </w:rPr>
              <w:t>N</w:t>
            </w:r>
            <w:r w:rsidRPr="009D3AAB">
              <w:rPr>
                <w:sz w:val="24"/>
                <w:szCs w:val="24"/>
                <w:u w:val="single"/>
              </w:rPr>
              <w:t>umber of people benefitting from legal aid programmes supported by the EU:</w:t>
            </w:r>
            <w:r w:rsidRPr="009D3AAB">
              <w:rPr>
                <w:sz w:val="24"/>
                <w:szCs w:val="24"/>
              </w:rPr>
              <w:t xml:space="preserve"> </w:t>
            </w:r>
            <w:r w:rsidR="001D36A8" w:rsidRPr="009D3AAB">
              <w:rPr>
                <w:sz w:val="24"/>
                <w:szCs w:val="24"/>
              </w:rPr>
              <w:t>EU supported</w:t>
            </w:r>
            <w:r w:rsidR="003D2E78" w:rsidRPr="009D3AAB">
              <w:rPr>
                <w:sz w:val="24"/>
                <w:szCs w:val="24"/>
              </w:rPr>
              <w:t xml:space="preserve"> a legal aid programme which included</w:t>
            </w:r>
            <w:r w:rsidRPr="009D3AAB">
              <w:rPr>
                <w:sz w:val="24"/>
                <w:szCs w:val="24"/>
              </w:rPr>
              <w:t xml:space="preserve"> </w:t>
            </w:r>
            <w:proofErr w:type="spellStart"/>
            <w:r w:rsidRPr="009D3AAB">
              <w:rPr>
                <w:sz w:val="24"/>
                <w:szCs w:val="24"/>
              </w:rPr>
              <w:t>i</w:t>
            </w:r>
            <w:proofErr w:type="spellEnd"/>
            <w:r w:rsidRPr="009D3AAB">
              <w:rPr>
                <w:sz w:val="24"/>
                <w:szCs w:val="24"/>
              </w:rPr>
              <w:t xml:space="preserve">) establishment of 25 legal aid centres including </w:t>
            </w:r>
            <w:r w:rsidRPr="009D3AAB">
              <w:rPr>
                <w:sz w:val="24"/>
                <w:szCs w:val="24"/>
              </w:rPr>
              <w:lastRenderedPageBreak/>
              <w:t xml:space="preserve">construction, equipment and training of human resources ii) </w:t>
            </w:r>
            <w:r w:rsidR="003D2E78" w:rsidRPr="009D3AAB">
              <w:rPr>
                <w:sz w:val="24"/>
                <w:szCs w:val="24"/>
              </w:rPr>
              <w:t xml:space="preserve"> capacity building </w:t>
            </w:r>
            <w:r w:rsidRPr="009D3AAB">
              <w:rPr>
                <w:sz w:val="24"/>
                <w:szCs w:val="24"/>
              </w:rPr>
              <w:t>of le</w:t>
            </w:r>
            <w:r w:rsidR="003D2E78" w:rsidRPr="009D3AAB">
              <w:rPr>
                <w:sz w:val="24"/>
                <w:szCs w:val="24"/>
              </w:rPr>
              <w:t>gal aid providers</w:t>
            </w:r>
            <w:r w:rsidR="007A02E7">
              <w:rPr>
                <w:sz w:val="24"/>
                <w:szCs w:val="24"/>
              </w:rPr>
              <w:t xml:space="preserve"> (lawyers</w:t>
            </w:r>
            <w:r w:rsidRPr="009D3AAB">
              <w:rPr>
                <w:sz w:val="24"/>
                <w:szCs w:val="24"/>
              </w:rPr>
              <w:t>,</w:t>
            </w:r>
            <w:r w:rsidR="007A02E7">
              <w:rPr>
                <w:sz w:val="24"/>
                <w:szCs w:val="24"/>
              </w:rPr>
              <w:t xml:space="preserve"> </w:t>
            </w:r>
            <w:r w:rsidRPr="009D3AAB">
              <w:rPr>
                <w:sz w:val="24"/>
                <w:szCs w:val="24"/>
              </w:rPr>
              <w:t xml:space="preserve">paralegals...) </w:t>
            </w:r>
          </w:p>
          <w:p w:rsidR="00E46883" w:rsidRPr="009D3AAB" w:rsidRDefault="007A7C9A" w:rsidP="007C12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R</w:t>
            </w:r>
            <w:r w:rsidR="00916807" w:rsidRPr="009D3AAB">
              <w:rPr>
                <w:sz w:val="24"/>
                <w:szCs w:val="24"/>
              </w:rPr>
              <w:t xml:space="preserve">esulting number of people  benefiting from the EU programme will be a sum of </w:t>
            </w:r>
            <w:proofErr w:type="spellStart"/>
            <w:r w:rsidR="00916807" w:rsidRPr="009D3AAB">
              <w:rPr>
                <w:sz w:val="24"/>
                <w:szCs w:val="24"/>
              </w:rPr>
              <w:t>i</w:t>
            </w:r>
            <w:proofErr w:type="spellEnd"/>
            <w:r w:rsidR="00916807" w:rsidRPr="009D3AAB">
              <w:rPr>
                <w:sz w:val="24"/>
                <w:szCs w:val="24"/>
              </w:rPr>
              <w:t xml:space="preserve">) number of personnel supported + number of beneficiaries who acquired legal information, advice, assistance or representation though the services provided by the legal aid centres ii) number of legal providers trained </w:t>
            </w:r>
            <w:r w:rsidR="00D55B75" w:rsidRPr="009D3AAB">
              <w:rPr>
                <w:sz w:val="24"/>
                <w:szCs w:val="24"/>
              </w:rPr>
              <w:t xml:space="preserve"> </w:t>
            </w:r>
          </w:p>
          <w:p w:rsidR="00E46883" w:rsidRPr="009D3AAB" w:rsidRDefault="00E46883" w:rsidP="00143DD5">
            <w:pPr>
              <w:spacing w:before="120" w:after="120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9D3AAB" w:rsidRDefault="00E46883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2C6871" w:rsidTr="003D2E78">
        <w:trPr>
          <w:trHeight w:val="1764"/>
        </w:trPr>
        <w:tc>
          <w:tcPr>
            <w:tcW w:w="3510" w:type="dxa"/>
            <w:shd w:val="pct10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9. Is it used by another organization</w:t>
            </w:r>
            <w:r>
              <w:rPr>
                <w:color w:val="000000"/>
                <w:sz w:val="24"/>
                <w:szCs w:val="24"/>
              </w:rPr>
              <w:t xml:space="preserve"> or in the framework of international initiatives, conventions, etc</w:t>
            </w:r>
            <w:r w:rsidRPr="002C6871">
              <w:rPr>
                <w:color w:val="000000"/>
                <w:sz w:val="24"/>
                <w:szCs w:val="24"/>
              </w:rPr>
              <w:t>? I</w:t>
            </w:r>
            <w:r>
              <w:rPr>
                <w:color w:val="000000"/>
                <w:sz w:val="24"/>
                <w:szCs w:val="24"/>
              </w:rPr>
              <w:t>f</w:t>
            </w:r>
            <w:r w:rsidRPr="002C6871">
              <w:rPr>
                <w:color w:val="000000"/>
                <w:sz w:val="24"/>
                <w:szCs w:val="24"/>
              </w:rPr>
              <w:t xml:space="preserve"> so, which?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E46883" w:rsidRPr="009D3AAB" w:rsidRDefault="00EE75DA" w:rsidP="007C12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C5D07" w:rsidRPr="009D3AAB">
              <w:rPr>
                <w:sz w:val="24"/>
                <w:szCs w:val="24"/>
              </w:rPr>
              <w:t>o</w:t>
            </w:r>
          </w:p>
        </w:tc>
      </w:tr>
      <w:tr w:rsidR="00E46883" w:rsidRPr="002C6871" w:rsidTr="00862B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83" w:rsidRPr="009D3AAB" w:rsidRDefault="00E46883" w:rsidP="007C12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46883" w:rsidRPr="002C6871" w:rsidTr="00862B80">
        <w:tc>
          <w:tcPr>
            <w:tcW w:w="3510" w:type="dxa"/>
            <w:shd w:val="pct10" w:color="auto" w:fill="auto"/>
          </w:tcPr>
          <w:p w:rsidR="00E46883" w:rsidRPr="002C6871" w:rsidRDefault="00E46883" w:rsidP="007C1259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10.Other issues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E46883" w:rsidRPr="009D3AAB" w:rsidRDefault="001D36A8" w:rsidP="007A02E7">
            <w:pPr>
              <w:spacing w:before="120" w:after="120"/>
              <w:rPr>
                <w:sz w:val="24"/>
                <w:szCs w:val="24"/>
              </w:rPr>
            </w:pPr>
            <w:r w:rsidRPr="009D3AAB">
              <w:rPr>
                <w:sz w:val="24"/>
                <w:szCs w:val="24"/>
              </w:rPr>
              <w:t>Number of people benefitting from legal aid programmes supported by the EU may not be fully attributable to the EU</w:t>
            </w:r>
            <w:r w:rsidR="003D2E78" w:rsidRPr="009D3AAB">
              <w:rPr>
                <w:sz w:val="24"/>
                <w:szCs w:val="24"/>
              </w:rPr>
              <w:t xml:space="preserve"> or a clear-</w:t>
            </w:r>
            <w:r w:rsidRPr="009D3AAB">
              <w:rPr>
                <w:sz w:val="24"/>
                <w:szCs w:val="24"/>
              </w:rPr>
              <w:t>cut EU contribution may be difficult to estimate</w:t>
            </w:r>
            <w:r w:rsidR="003D2E78" w:rsidRPr="009D3AAB">
              <w:rPr>
                <w:sz w:val="24"/>
                <w:szCs w:val="24"/>
              </w:rPr>
              <w:t xml:space="preserve">.  Nevertheless, it </w:t>
            </w:r>
            <w:r w:rsidRPr="009D3AAB">
              <w:rPr>
                <w:sz w:val="24"/>
                <w:szCs w:val="24"/>
              </w:rPr>
              <w:t>gives a sense of the number of beneficiaries that are supported by the EU</w:t>
            </w:r>
            <w:r w:rsidR="007A02E7">
              <w:rPr>
                <w:sz w:val="24"/>
                <w:szCs w:val="24"/>
              </w:rPr>
              <w:t>.</w:t>
            </w:r>
          </w:p>
        </w:tc>
      </w:tr>
    </w:tbl>
    <w:p w:rsidR="00322F21" w:rsidRPr="002C6871" w:rsidRDefault="007C1259" w:rsidP="004F2A0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22F21" w:rsidRPr="002C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1E7A"/>
    <w:multiLevelType w:val="hybridMultilevel"/>
    <w:tmpl w:val="67D2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3701"/>
    <w:multiLevelType w:val="hybridMultilevel"/>
    <w:tmpl w:val="1A52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72C8"/>
    <w:multiLevelType w:val="hybridMultilevel"/>
    <w:tmpl w:val="7EB43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6DD3"/>
    <w:multiLevelType w:val="hybridMultilevel"/>
    <w:tmpl w:val="3C28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2F21"/>
    <w:rsid w:val="00022802"/>
    <w:rsid w:val="00027794"/>
    <w:rsid w:val="0006363D"/>
    <w:rsid w:val="000B2198"/>
    <w:rsid w:val="000D495C"/>
    <w:rsid w:val="001434F8"/>
    <w:rsid w:val="00143DD5"/>
    <w:rsid w:val="00184CE4"/>
    <w:rsid w:val="001D36A8"/>
    <w:rsid w:val="001F35D0"/>
    <w:rsid w:val="002C6871"/>
    <w:rsid w:val="00307ADD"/>
    <w:rsid w:val="00322F21"/>
    <w:rsid w:val="003308FC"/>
    <w:rsid w:val="00331778"/>
    <w:rsid w:val="003422C8"/>
    <w:rsid w:val="003B1464"/>
    <w:rsid w:val="003D2E78"/>
    <w:rsid w:val="004612B5"/>
    <w:rsid w:val="004972AE"/>
    <w:rsid w:val="004A7535"/>
    <w:rsid w:val="004E292E"/>
    <w:rsid w:val="004F2A0A"/>
    <w:rsid w:val="00515753"/>
    <w:rsid w:val="00542C29"/>
    <w:rsid w:val="00547783"/>
    <w:rsid w:val="00576C4B"/>
    <w:rsid w:val="0059627E"/>
    <w:rsid w:val="0061445E"/>
    <w:rsid w:val="00631D80"/>
    <w:rsid w:val="006A3FEF"/>
    <w:rsid w:val="006E533A"/>
    <w:rsid w:val="00712AA8"/>
    <w:rsid w:val="0075652C"/>
    <w:rsid w:val="007A02E7"/>
    <w:rsid w:val="007A2523"/>
    <w:rsid w:val="007A7C9A"/>
    <w:rsid w:val="007C1259"/>
    <w:rsid w:val="007F6488"/>
    <w:rsid w:val="00800C87"/>
    <w:rsid w:val="00862B80"/>
    <w:rsid w:val="008B5F47"/>
    <w:rsid w:val="008D710E"/>
    <w:rsid w:val="00916807"/>
    <w:rsid w:val="00945B0D"/>
    <w:rsid w:val="009577DC"/>
    <w:rsid w:val="009923C1"/>
    <w:rsid w:val="009D3905"/>
    <w:rsid w:val="009D3AAB"/>
    <w:rsid w:val="009D4B4C"/>
    <w:rsid w:val="00A52E05"/>
    <w:rsid w:val="00B36A98"/>
    <w:rsid w:val="00BA0DC8"/>
    <w:rsid w:val="00BB3F1F"/>
    <w:rsid w:val="00BC213A"/>
    <w:rsid w:val="00BE52A4"/>
    <w:rsid w:val="00C76AD8"/>
    <w:rsid w:val="00C80E27"/>
    <w:rsid w:val="00CC5D07"/>
    <w:rsid w:val="00D0688C"/>
    <w:rsid w:val="00D55B75"/>
    <w:rsid w:val="00D86882"/>
    <w:rsid w:val="00D90D41"/>
    <w:rsid w:val="00DA45BB"/>
    <w:rsid w:val="00DB2D0B"/>
    <w:rsid w:val="00DE7E2F"/>
    <w:rsid w:val="00E46883"/>
    <w:rsid w:val="00E67714"/>
    <w:rsid w:val="00EC62AC"/>
    <w:rsid w:val="00EE66EA"/>
    <w:rsid w:val="00EE75DA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228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533A"/>
    <w:rPr>
      <w:color w:val="808080"/>
    </w:rPr>
  </w:style>
  <w:style w:type="paragraph" w:styleId="ListParagraph">
    <w:name w:val="List Paragraph"/>
    <w:basedOn w:val="Normal"/>
    <w:uiPriority w:val="34"/>
    <w:qFormat/>
    <w:rsid w:val="00CC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F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2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228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533A"/>
    <w:rPr>
      <w:color w:val="808080"/>
    </w:rPr>
  </w:style>
  <w:style w:type="paragraph" w:styleId="ListParagraph">
    <w:name w:val="List Paragraph"/>
    <w:basedOn w:val="Normal"/>
    <w:uiPriority w:val="34"/>
    <w:qFormat/>
    <w:rsid w:val="00CC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F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2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ght_to_counsel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Equality_before_the_la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ookshop.europa.eu/en/support-to-justice-and-the-rule-of-law-pbMNBB120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Right_to_a_fair_t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A67E-BF30-4993-8852-41027B0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1042</Words>
  <Characters>5701</Characters>
  <Application>Microsoft Office Word</Application>
  <DocSecurity>0</DocSecurity>
  <Lines>219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6656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https://myintracomm.ec.europa.eu/dg/devco/thematic-activities/infrastructures-networks/Pages/tools-documents-guidelines.aspx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Medhi (DEVCO)</dc:creator>
  <cp:lastModifiedBy>DEAN Homa (DEVCO)</cp:lastModifiedBy>
  <cp:revision>8</cp:revision>
  <dcterms:created xsi:type="dcterms:W3CDTF">2015-02-04T17:03:00Z</dcterms:created>
  <dcterms:modified xsi:type="dcterms:W3CDTF">2015-02-18T14:27:00Z</dcterms:modified>
</cp:coreProperties>
</file>