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C4B" w:rsidRPr="002C6871" w:rsidRDefault="003D428A">
      <w:pPr>
        <w:rPr>
          <w:b/>
          <w:sz w:val="24"/>
          <w:szCs w:val="24"/>
          <w:u w:val="single"/>
        </w:rPr>
      </w:pPr>
      <w:r>
        <w:rPr>
          <w:b/>
          <w:sz w:val="24"/>
          <w:szCs w:val="24"/>
          <w:u w:val="single"/>
        </w:rPr>
        <w:t xml:space="preserve"> </w:t>
      </w:r>
      <w:r w:rsidR="00322F21" w:rsidRPr="002C6871">
        <w:rPr>
          <w:b/>
          <w:sz w:val="24"/>
          <w:szCs w:val="24"/>
          <w:u w:val="single"/>
        </w:rPr>
        <w:t>EU Resul</w:t>
      </w:r>
      <w:r w:rsidR="004972AE" w:rsidRPr="002C6871">
        <w:rPr>
          <w:b/>
          <w:sz w:val="24"/>
          <w:szCs w:val="24"/>
          <w:u w:val="single"/>
        </w:rPr>
        <w:t>t</w:t>
      </w:r>
      <w:r w:rsidR="00322F21" w:rsidRPr="002C6871">
        <w:rPr>
          <w:b/>
          <w:sz w:val="24"/>
          <w:szCs w:val="24"/>
          <w:u w:val="single"/>
        </w:rPr>
        <w:t>s Framework Indicator methodology note</w:t>
      </w: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8"/>
        <w:gridCol w:w="8000"/>
      </w:tblGrid>
      <w:tr w:rsidR="00322F21" w:rsidRPr="002C6871" w:rsidTr="00874777">
        <w:tc>
          <w:tcPr>
            <w:tcW w:w="2028" w:type="dxa"/>
            <w:shd w:val="pct10" w:color="auto" w:fill="auto"/>
            <w:vAlign w:val="bottom"/>
          </w:tcPr>
          <w:p w:rsidR="00322F21" w:rsidRPr="002C6871" w:rsidRDefault="00322F21" w:rsidP="007C1259">
            <w:pPr>
              <w:spacing w:before="120" w:after="120"/>
              <w:rPr>
                <w:color w:val="000000"/>
                <w:sz w:val="24"/>
                <w:szCs w:val="24"/>
              </w:rPr>
            </w:pPr>
            <w:r w:rsidRPr="002C6871">
              <w:rPr>
                <w:color w:val="000000"/>
                <w:sz w:val="24"/>
                <w:szCs w:val="24"/>
              </w:rPr>
              <w:t>1. Name of indicator</w:t>
            </w:r>
          </w:p>
        </w:tc>
        <w:tc>
          <w:tcPr>
            <w:tcW w:w="8000" w:type="dxa"/>
            <w:shd w:val="pct10" w:color="auto" w:fill="auto"/>
            <w:vAlign w:val="center"/>
          </w:tcPr>
          <w:p w:rsidR="00322F21" w:rsidRPr="002C6871" w:rsidRDefault="0097580B" w:rsidP="007C1259">
            <w:pPr>
              <w:spacing w:before="120" w:after="120"/>
              <w:rPr>
                <w:sz w:val="24"/>
                <w:szCs w:val="24"/>
              </w:rPr>
            </w:pPr>
            <w:r>
              <w:rPr>
                <w:rFonts w:cs="Arial"/>
                <w:b/>
                <w:bCs/>
                <w:sz w:val="24"/>
                <w:szCs w:val="24"/>
                <w:lang w:eastAsia="en-GB"/>
              </w:rPr>
              <w:t>Share of older persons receiving pensions</w:t>
            </w:r>
          </w:p>
        </w:tc>
      </w:tr>
      <w:tr w:rsidR="00322F21" w:rsidRPr="002C6871" w:rsidTr="00874777">
        <w:tc>
          <w:tcPr>
            <w:tcW w:w="2028" w:type="dxa"/>
            <w:tcBorders>
              <w:bottom w:val="single" w:sz="4" w:space="0" w:color="auto"/>
            </w:tcBorders>
            <w:shd w:val="clear" w:color="auto" w:fill="auto"/>
            <w:vAlign w:val="bottom"/>
          </w:tcPr>
          <w:p w:rsidR="00322F21" w:rsidRPr="002C6871" w:rsidRDefault="00322F21" w:rsidP="007C1259">
            <w:pPr>
              <w:spacing w:before="120" w:after="120"/>
              <w:rPr>
                <w:color w:val="000000"/>
                <w:sz w:val="24"/>
                <w:szCs w:val="24"/>
              </w:rPr>
            </w:pPr>
          </w:p>
        </w:tc>
        <w:tc>
          <w:tcPr>
            <w:tcW w:w="8000" w:type="dxa"/>
            <w:tcBorders>
              <w:bottom w:val="single" w:sz="4" w:space="0" w:color="auto"/>
            </w:tcBorders>
            <w:shd w:val="clear" w:color="auto" w:fill="auto"/>
            <w:vAlign w:val="center"/>
          </w:tcPr>
          <w:p w:rsidR="00322F21" w:rsidRPr="002C6871" w:rsidRDefault="00322F21" w:rsidP="007C1259">
            <w:pPr>
              <w:spacing w:before="120" w:after="120"/>
              <w:rPr>
                <w:sz w:val="24"/>
                <w:szCs w:val="24"/>
              </w:rPr>
            </w:pPr>
          </w:p>
        </w:tc>
      </w:tr>
      <w:tr w:rsidR="00322F21" w:rsidRPr="002C6871" w:rsidTr="00874777">
        <w:tc>
          <w:tcPr>
            <w:tcW w:w="2028" w:type="dxa"/>
            <w:shd w:val="pct10" w:color="auto" w:fill="auto"/>
            <w:vAlign w:val="bottom"/>
          </w:tcPr>
          <w:p w:rsidR="00322F21" w:rsidRPr="002C6871" w:rsidRDefault="00322F21" w:rsidP="007C1259">
            <w:pPr>
              <w:spacing w:before="120" w:after="120"/>
              <w:rPr>
                <w:color w:val="000000"/>
                <w:sz w:val="24"/>
                <w:szCs w:val="24"/>
              </w:rPr>
            </w:pPr>
            <w:r w:rsidRPr="002C6871">
              <w:rPr>
                <w:color w:val="000000"/>
                <w:sz w:val="24"/>
                <w:szCs w:val="24"/>
              </w:rPr>
              <w:t>2. Which sector (using Result Framework heading)</w:t>
            </w:r>
          </w:p>
        </w:tc>
        <w:tc>
          <w:tcPr>
            <w:tcW w:w="8000" w:type="dxa"/>
            <w:shd w:val="pct10" w:color="auto" w:fill="auto"/>
            <w:vAlign w:val="center"/>
          </w:tcPr>
          <w:p w:rsidR="00322F21" w:rsidRPr="002C6871" w:rsidRDefault="00DF2320" w:rsidP="007C1259">
            <w:pPr>
              <w:spacing w:before="120" w:after="120"/>
              <w:rPr>
                <w:color w:val="000000"/>
                <w:sz w:val="24"/>
                <w:szCs w:val="24"/>
              </w:rPr>
            </w:pPr>
            <w:r w:rsidRPr="00DF2320">
              <w:rPr>
                <w:color w:val="000000"/>
                <w:sz w:val="24"/>
                <w:szCs w:val="24"/>
              </w:rPr>
              <w:t>Employment and Social Protection</w:t>
            </w:r>
          </w:p>
        </w:tc>
      </w:tr>
      <w:tr w:rsidR="00322F21" w:rsidRPr="002C6871" w:rsidTr="00874777">
        <w:tc>
          <w:tcPr>
            <w:tcW w:w="2028" w:type="dxa"/>
            <w:tcBorders>
              <w:bottom w:val="single" w:sz="4" w:space="0" w:color="auto"/>
            </w:tcBorders>
            <w:shd w:val="clear" w:color="auto" w:fill="auto"/>
            <w:vAlign w:val="bottom"/>
          </w:tcPr>
          <w:p w:rsidR="00322F21" w:rsidRPr="002C6871" w:rsidRDefault="00322F21" w:rsidP="007C1259">
            <w:pPr>
              <w:spacing w:before="120" w:after="120"/>
              <w:rPr>
                <w:color w:val="000000"/>
                <w:sz w:val="24"/>
                <w:szCs w:val="24"/>
              </w:rPr>
            </w:pPr>
          </w:p>
        </w:tc>
        <w:tc>
          <w:tcPr>
            <w:tcW w:w="8000" w:type="dxa"/>
            <w:tcBorders>
              <w:bottom w:val="single" w:sz="4" w:space="0" w:color="auto"/>
            </w:tcBorders>
            <w:shd w:val="clear" w:color="auto" w:fill="auto"/>
            <w:vAlign w:val="center"/>
          </w:tcPr>
          <w:p w:rsidR="00322F21" w:rsidRPr="002C6871" w:rsidRDefault="00322F21" w:rsidP="00504A9A">
            <w:pPr>
              <w:autoSpaceDE w:val="0"/>
              <w:autoSpaceDN w:val="0"/>
              <w:adjustRightInd w:val="0"/>
              <w:spacing w:after="0" w:line="240" w:lineRule="auto"/>
              <w:rPr>
                <w:sz w:val="24"/>
                <w:szCs w:val="24"/>
              </w:rPr>
            </w:pPr>
          </w:p>
        </w:tc>
      </w:tr>
      <w:tr w:rsidR="00322F21" w:rsidRPr="002C6871" w:rsidTr="00874777">
        <w:tc>
          <w:tcPr>
            <w:tcW w:w="2028" w:type="dxa"/>
            <w:shd w:val="pct10" w:color="auto" w:fill="auto"/>
          </w:tcPr>
          <w:p w:rsidR="00322F21" w:rsidRPr="002C6871" w:rsidRDefault="00322F21" w:rsidP="007C1259">
            <w:pPr>
              <w:spacing w:before="120" w:after="120"/>
              <w:rPr>
                <w:color w:val="000000"/>
                <w:sz w:val="24"/>
                <w:szCs w:val="24"/>
              </w:rPr>
            </w:pPr>
            <w:r w:rsidRPr="002C6871">
              <w:rPr>
                <w:color w:val="000000"/>
                <w:sz w:val="24"/>
                <w:szCs w:val="24"/>
              </w:rPr>
              <w:t xml:space="preserve">3. Technical Definition </w:t>
            </w:r>
          </w:p>
        </w:tc>
        <w:tc>
          <w:tcPr>
            <w:tcW w:w="8000" w:type="dxa"/>
            <w:shd w:val="pct10" w:color="auto" w:fill="auto"/>
            <w:vAlign w:val="center"/>
          </w:tcPr>
          <w:p w:rsidR="00A54D58" w:rsidRPr="00E51DFB" w:rsidRDefault="00A54D58" w:rsidP="00874777">
            <w:pPr>
              <w:spacing w:before="120" w:after="120" w:line="240" w:lineRule="auto"/>
              <w:rPr>
                <w:sz w:val="24"/>
                <w:szCs w:val="24"/>
              </w:rPr>
            </w:pPr>
            <w:r w:rsidRPr="00E51DFB">
              <w:rPr>
                <w:sz w:val="24"/>
                <w:szCs w:val="24"/>
              </w:rPr>
              <w:t>Share of population above the statutory pensionable age (or aged 65 or above) benefiting from an old-age pension.</w:t>
            </w:r>
          </w:p>
          <w:p w:rsidR="00A54D58" w:rsidRPr="00E51DFB" w:rsidRDefault="00A54D58" w:rsidP="00874777">
            <w:pPr>
              <w:spacing w:before="120" w:after="120" w:line="240" w:lineRule="auto"/>
              <w:rPr>
                <w:sz w:val="24"/>
                <w:szCs w:val="24"/>
              </w:rPr>
            </w:pPr>
            <w:r w:rsidRPr="00E51DFB">
              <w:rPr>
                <w:sz w:val="24"/>
                <w:szCs w:val="24"/>
              </w:rPr>
              <w:t>An old-age pension refers to periodic payments intended: (</w:t>
            </w:r>
            <w:proofErr w:type="spellStart"/>
            <w:r w:rsidRPr="00E51DFB">
              <w:rPr>
                <w:sz w:val="24"/>
                <w:szCs w:val="24"/>
              </w:rPr>
              <w:t>i</w:t>
            </w:r>
            <w:proofErr w:type="spellEnd"/>
            <w:r w:rsidRPr="00E51DFB">
              <w:rPr>
                <w:sz w:val="24"/>
                <w:szCs w:val="24"/>
              </w:rPr>
              <w:t>) to maintain the income of the beneficiary after retirement from gainful employment at the statutory/standard age or (ii) to support the income of older persons (excluding support for a limited duration).</w:t>
            </w:r>
          </w:p>
          <w:p w:rsidR="00A54D58" w:rsidRPr="00E51DFB" w:rsidRDefault="00A54D58" w:rsidP="00874777">
            <w:pPr>
              <w:spacing w:before="120" w:after="120" w:line="240" w:lineRule="auto"/>
              <w:rPr>
                <w:sz w:val="24"/>
                <w:szCs w:val="24"/>
              </w:rPr>
            </w:pPr>
            <w:r w:rsidRPr="00E51DFB">
              <w:rPr>
                <w:sz w:val="24"/>
                <w:szCs w:val="24"/>
              </w:rPr>
              <w:t>A beneficiary is the person in respect of whom social security benefit is granted, irrespective of whether he is a titular beneficiary or not.</w:t>
            </w:r>
          </w:p>
          <w:p w:rsidR="00A54D58" w:rsidRPr="00E51DFB" w:rsidRDefault="00A54D58" w:rsidP="00874777">
            <w:pPr>
              <w:spacing w:before="120" w:after="120" w:line="240" w:lineRule="auto"/>
              <w:rPr>
                <w:sz w:val="24"/>
                <w:szCs w:val="24"/>
              </w:rPr>
            </w:pPr>
            <w:r w:rsidRPr="00E51DFB">
              <w:rPr>
                <w:sz w:val="24"/>
                <w:szCs w:val="24"/>
              </w:rPr>
              <w:t>The benefits covered are periodic cash retirement benefits. They can be means-tested or non means-tested and provided through contributory or non-contributory schemes. Means-tested social benefits are social benefits which are explicitly or implicitly conditional on the beneficiary's income and/or wealth falling below a specified level. Thus, Non means-tested benefits are those benefits that are entirely independent of the beneficiary’s income and/or wealth.</w:t>
            </w:r>
          </w:p>
          <w:p w:rsidR="00A54D58" w:rsidRPr="00E51DFB" w:rsidRDefault="00A54D58" w:rsidP="00874777">
            <w:pPr>
              <w:spacing w:before="120" w:after="120" w:line="240" w:lineRule="auto"/>
              <w:rPr>
                <w:sz w:val="24"/>
                <w:szCs w:val="24"/>
              </w:rPr>
            </w:pPr>
            <w:r w:rsidRPr="00E51DFB">
              <w:rPr>
                <w:sz w:val="24"/>
                <w:szCs w:val="24"/>
              </w:rPr>
              <w:t xml:space="preserve">Contributory schemes are social protection schemes that require the payment of contributions, by the protected persons or by other parties on their behalf, in order to secure individual entitlement to benefits.  Conversely, non-contributory schemes normally do not require direct contribution from beneficiaries or their employers as a condition of entitlement to receive relevant benefits. Non-contributory schemes include a broad range of schemes including universal schemes for all residents and some categorical means-tested schemes. Non-contributory schemes are usually financed through tax or other state revenues. </w:t>
            </w:r>
          </w:p>
          <w:p w:rsidR="000475BB" w:rsidRPr="00E51DFB" w:rsidRDefault="008D4AB8" w:rsidP="00874777">
            <w:pPr>
              <w:spacing w:before="120" w:after="120" w:line="240" w:lineRule="auto"/>
              <w:rPr>
                <w:i/>
                <w:sz w:val="24"/>
                <w:szCs w:val="24"/>
              </w:rPr>
            </w:pPr>
            <w:r w:rsidRPr="00E51DFB">
              <w:rPr>
                <w:i/>
                <w:sz w:val="24"/>
                <w:szCs w:val="24"/>
              </w:rPr>
              <w:t>(Source: ILO)</w:t>
            </w:r>
          </w:p>
        </w:tc>
      </w:tr>
      <w:tr w:rsidR="00322F21" w:rsidRPr="002C6871" w:rsidTr="00874777">
        <w:tc>
          <w:tcPr>
            <w:tcW w:w="2028" w:type="dxa"/>
            <w:tcBorders>
              <w:bottom w:val="single" w:sz="4" w:space="0" w:color="auto"/>
            </w:tcBorders>
            <w:shd w:val="clear" w:color="auto" w:fill="auto"/>
            <w:vAlign w:val="bottom"/>
          </w:tcPr>
          <w:p w:rsidR="00322F21" w:rsidRPr="002C6871" w:rsidRDefault="00322F21" w:rsidP="007C1259">
            <w:pPr>
              <w:spacing w:before="120" w:after="120"/>
              <w:rPr>
                <w:color w:val="000000"/>
                <w:sz w:val="24"/>
                <w:szCs w:val="24"/>
              </w:rPr>
            </w:pPr>
          </w:p>
        </w:tc>
        <w:tc>
          <w:tcPr>
            <w:tcW w:w="8000" w:type="dxa"/>
            <w:tcBorders>
              <w:bottom w:val="single" w:sz="4" w:space="0" w:color="auto"/>
            </w:tcBorders>
            <w:shd w:val="clear" w:color="auto" w:fill="auto"/>
            <w:vAlign w:val="center"/>
          </w:tcPr>
          <w:p w:rsidR="00322F21" w:rsidRPr="000B37DB" w:rsidRDefault="00322F21" w:rsidP="007C1259">
            <w:pPr>
              <w:spacing w:before="120" w:after="120"/>
              <w:rPr>
                <w:sz w:val="24"/>
                <w:szCs w:val="24"/>
              </w:rPr>
            </w:pPr>
          </w:p>
        </w:tc>
      </w:tr>
      <w:tr w:rsidR="00322F21" w:rsidRPr="002C6871" w:rsidTr="00874777">
        <w:tc>
          <w:tcPr>
            <w:tcW w:w="2028" w:type="dxa"/>
            <w:shd w:val="pct10" w:color="auto" w:fill="auto"/>
            <w:vAlign w:val="center"/>
          </w:tcPr>
          <w:p w:rsidR="00322F21" w:rsidRPr="002C6871" w:rsidRDefault="00322F21" w:rsidP="007C1259">
            <w:pPr>
              <w:spacing w:before="120" w:after="120"/>
              <w:rPr>
                <w:color w:val="000000"/>
                <w:sz w:val="24"/>
                <w:szCs w:val="24"/>
              </w:rPr>
            </w:pPr>
            <w:r w:rsidRPr="002C6871">
              <w:rPr>
                <w:color w:val="000000"/>
                <w:sz w:val="24"/>
                <w:szCs w:val="24"/>
              </w:rPr>
              <w:t xml:space="preserve">4. Rationale (including which </w:t>
            </w:r>
            <w:r w:rsidRPr="002C6871">
              <w:rPr>
                <w:color w:val="000000"/>
                <w:sz w:val="24"/>
                <w:szCs w:val="24"/>
              </w:rPr>
              <w:lastRenderedPageBreak/>
              <w:t>policy priority, and how is this indicator linked to that policy priority)</w:t>
            </w:r>
          </w:p>
        </w:tc>
        <w:tc>
          <w:tcPr>
            <w:tcW w:w="8000" w:type="dxa"/>
            <w:shd w:val="pct10" w:color="auto" w:fill="auto"/>
            <w:vAlign w:val="center"/>
          </w:tcPr>
          <w:p w:rsidR="00DC3E76" w:rsidRPr="00E51DFB" w:rsidRDefault="00DC3E76" w:rsidP="009E3DEE">
            <w:pPr>
              <w:spacing w:before="120" w:after="120" w:line="240" w:lineRule="auto"/>
              <w:rPr>
                <w:color w:val="000000"/>
                <w:sz w:val="24"/>
                <w:szCs w:val="24"/>
              </w:rPr>
            </w:pPr>
            <w:r w:rsidRPr="00E51DFB">
              <w:rPr>
                <w:color w:val="000000"/>
                <w:sz w:val="24"/>
                <w:szCs w:val="24"/>
              </w:rPr>
              <w:lastRenderedPageBreak/>
              <w:t>This indicator is linked</w:t>
            </w:r>
            <w:r w:rsidR="00A54D58" w:rsidRPr="00E51DFB">
              <w:rPr>
                <w:color w:val="000000"/>
                <w:sz w:val="24"/>
                <w:szCs w:val="24"/>
              </w:rPr>
              <w:t xml:space="preserve">: </w:t>
            </w:r>
            <w:proofErr w:type="spellStart"/>
            <w:r w:rsidR="00A54D58" w:rsidRPr="00E51DFB">
              <w:rPr>
                <w:color w:val="000000"/>
                <w:sz w:val="24"/>
                <w:szCs w:val="24"/>
              </w:rPr>
              <w:t>i</w:t>
            </w:r>
            <w:proofErr w:type="spellEnd"/>
            <w:r w:rsidR="00A54D58" w:rsidRPr="00E51DFB">
              <w:rPr>
                <w:color w:val="000000"/>
                <w:sz w:val="24"/>
                <w:szCs w:val="24"/>
              </w:rPr>
              <w:t xml:space="preserve">) </w:t>
            </w:r>
            <w:r w:rsidRPr="00E51DFB">
              <w:rPr>
                <w:color w:val="000000"/>
                <w:sz w:val="24"/>
                <w:szCs w:val="24"/>
              </w:rPr>
              <w:t xml:space="preserve">to the promotion of </w:t>
            </w:r>
            <w:r w:rsidR="00A54D58" w:rsidRPr="00E51DFB">
              <w:rPr>
                <w:color w:val="000000"/>
                <w:sz w:val="24"/>
                <w:szCs w:val="24"/>
              </w:rPr>
              <w:t xml:space="preserve">social protection (see </w:t>
            </w:r>
            <w:r w:rsidR="0021628D">
              <w:rPr>
                <w:color w:val="000000"/>
                <w:sz w:val="24"/>
                <w:szCs w:val="24"/>
              </w:rPr>
              <w:t xml:space="preserve">European </w:t>
            </w:r>
            <w:r w:rsidR="00874777">
              <w:rPr>
                <w:color w:val="000000"/>
                <w:sz w:val="24"/>
                <w:szCs w:val="24"/>
              </w:rPr>
              <w:t xml:space="preserve">Commission </w:t>
            </w:r>
            <w:r w:rsidR="00874777">
              <w:rPr>
                <w:sz w:val="24"/>
                <w:szCs w:val="24"/>
              </w:rPr>
              <w:t xml:space="preserve">Communication on Social Protection in EU Development </w:t>
            </w:r>
            <w:r w:rsidR="00874777">
              <w:rPr>
                <w:sz w:val="24"/>
                <w:szCs w:val="24"/>
              </w:rPr>
              <w:lastRenderedPageBreak/>
              <w:t>Cooperation</w:t>
            </w:r>
            <w:r w:rsidR="00A54D58" w:rsidRPr="00E51DFB">
              <w:rPr>
                <w:color w:val="000000"/>
                <w:sz w:val="24"/>
                <w:szCs w:val="24"/>
              </w:rPr>
              <w:t>); and to</w:t>
            </w:r>
            <w:r w:rsidR="00874777">
              <w:rPr>
                <w:color w:val="000000"/>
                <w:sz w:val="24"/>
                <w:szCs w:val="24"/>
              </w:rPr>
              <w:t xml:space="preserve"> </w:t>
            </w:r>
            <w:r w:rsidR="00A54D58" w:rsidRPr="00E51DFB">
              <w:rPr>
                <w:color w:val="000000"/>
                <w:sz w:val="24"/>
                <w:szCs w:val="24"/>
              </w:rPr>
              <w:t xml:space="preserve">the promotion of decent work (of which social protection is one of the pillars), </w:t>
            </w:r>
            <w:r w:rsidR="00585497" w:rsidRPr="00E51DFB">
              <w:rPr>
                <w:color w:val="000000"/>
                <w:sz w:val="24"/>
                <w:szCs w:val="24"/>
              </w:rPr>
              <w:t xml:space="preserve">in line with the </w:t>
            </w:r>
            <w:r w:rsidR="00874777">
              <w:rPr>
                <w:color w:val="000000"/>
                <w:sz w:val="24"/>
                <w:szCs w:val="24"/>
              </w:rPr>
              <w:t>“Agenda for Change” (2011)</w:t>
            </w:r>
          </w:p>
          <w:p w:rsidR="008D4AB8" w:rsidRPr="00E51DFB" w:rsidRDefault="008D4AB8" w:rsidP="009E3DEE">
            <w:pPr>
              <w:spacing w:before="120" w:after="120" w:line="240" w:lineRule="auto"/>
              <w:rPr>
                <w:color w:val="000000"/>
                <w:sz w:val="24"/>
                <w:szCs w:val="24"/>
              </w:rPr>
            </w:pPr>
            <w:r w:rsidRPr="00E51DFB">
              <w:rPr>
                <w:color w:val="000000"/>
                <w:sz w:val="24"/>
                <w:szCs w:val="24"/>
              </w:rPr>
              <w:t xml:space="preserve">In the absence of global indicators on </w:t>
            </w:r>
            <w:r w:rsidR="006B1F25" w:rsidRPr="00E51DFB">
              <w:rPr>
                <w:color w:val="000000"/>
                <w:sz w:val="24"/>
                <w:szCs w:val="24"/>
              </w:rPr>
              <w:t xml:space="preserve">“comprehensive” </w:t>
            </w:r>
            <w:r w:rsidRPr="00E51DFB">
              <w:rPr>
                <w:color w:val="000000"/>
                <w:sz w:val="24"/>
                <w:szCs w:val="24"/>
              </w:rPr>
              <w:t>social protection (e</w:t>
            </w:r>
            <w:r w:rsidR="000B37DB">
              <w:rPr>
                <w:color w:val="000000"/>
                <w:sz w:val="24"/>
                <w:szCs w:val="24"/>
              </w:rPr>
              <w:t>.</w:t>
            </w:r>
            <w:r w:rsidRPr="00E51DFB">
              <w:rPr>
                <w:color w:val="000000"/>
                <w:sz w:val="24"/>
                <w:szCs w:val="24"/>
              </w:rPr>
              <w:t>g. that would allow to measure the extension of coverage of nationally defined social protection systems), the indicator “share of older persons receiving pensions” is proposed</w:t>
            </w:r>
            <w:bookmarkStart w:id="0" w:name="_GoBack"/>
            <w:bookmarkEnd w:id="0"/>
            <w:r w:rsidRPr="00E51DFB">
              <w:rPr>
                <w:color w:val="000000"/>
                <w:sz w:val="24"/>
                <w:szCs w:val="24"/>
              </w:rPr>
              <w:t xml:space="preserve"> because:</w:t>
            </w:r>
          </w:p>
          <w:p w:rsidR="008D4AB8" w:rsidRPr="00E51DFB" w:rsidRDefault="009E3DEE" w:rsidP="009E3DEE">
            <w:pPr>
              <w:pStyle w:val="ListParagraph"/>
              <w:numPr>
                <w:ilvl w:val="0"/>
                <w:numId w:val="5"/>
              </w:numPr>
              <w:spacing w:before="120" w:after="120" w:line="240" w:lineRule="auto"/>
              <w:ind w:left="0" w:firstLine="360"/>
              <w:rPr>
                <w:color w:val="000000"/>
                <w:sz w:val="24"/>
                <w:szCs w:val="24"/>
              </w:rPr>
            </w:pPr>
            <w:r>
              <w:rPr>
                <w:color w:val="000000"/>
                <w:sz w:val="24"/>
                <w:szCs w:val="24"/>
              </w:rPr>
              <w:t>It is relevant,</w:t>
            </w:r>
            <w:r w:rsidR="008D4AB8" w:rsidRPr="00E51DFB">
              <w:rPr>
                <w:color w:val="000000"/>
                <w:sz w:val="24"/>
                <w:szCs w:val="24"/>
              </w:rPr>
              <w:t xml:space="preserve"> as the provisions of pensions is one of the four basic social security guarantees identified in Recommendation 202 on Social Protection Floors.</w:t>
            </w:r>
          </w:p>
          <w:p w:rsidR="008D4AB8" w:rsidRPr="00E51DFB" w:rsidRDefault="008D4AB8" w:rsidP="009E3DEE">
            <w:pPr>
              <w:spacing w:before="120" w:after="120" w:line="240" w:lineRule="auto"/>
              <w:rPr>
                <w:color w:val="000000"/>
                <w:sz w:val="24"/>
                <w:szCs w:val="24"/>
              </w:rPr>
            </w:pPr>
            <w:r w:rsidRPr="00E51DFB">
              <w:rPr>
                <w:color w:val="000000"/>
                <w:sz w:val="24"/>
                <w:szCs w:val="24"/>
              </w:rPr>
              <w:t>Moreover, in developing countries the numbers of the older poor are increasing and older people are over-represented among the chronically poor.</w:t>
            </w:r>
            <w:r w:rsidR="006B1F25" w:rsidRPr="00E51DFB">
              <w:rPr>
                <w:color w:val="000000"/>
                <w:sz w:val="24"/>
                <w:szCs w:val="24"/>
              </w:rPr>
              <w:t xml:space="preserve"> Pensions have proved effective in reducing income poverty and other forms of poverty among older people.</w:t>
            </w:r>
          </w:p>
          <w:p w:rsidR="00585497" w:rsidRPr="00E51DFB" w:rsidRDefault="008D4AB8" w:rsidP="009E3DEE">
            <w:pPr>
              <w:pStyle w:val="ListParagraph"/>
              <w:numPr>
                <w:ilvl w:val="0"/>
                <w:numId w:val="5"/>
              </w:numPr>
              <w:spacing w:before="120" w:after="120" w:line="240" w:lineRule="auto"/>
              <w:ind w:left="0" w:firstLine="360"/>
              <w:rPr>
                <w:color w:val="000000"/>
                <w:sz w:val="24"/>
                <w:szCs w:val="24"/>
              </w:rPr>
            </w:pPr>
            <w:r w:rsidRPr="00E51DFB">
              <w:rPr>
                <w:color w:val="000000"/>
                <w:sz w:val="24"/>
                <w:szCs w:val="24"/>
              </w:rPr>
              <w:t>It is measurable</w:t>
            </w:r>
            <w:r w:rsidR="006B1F25" w:rsidRPr="00E51DFB">
              <w:rPr>
                <w:color w:val="000000"/>
                <w:sz w:val="24"/>
                <w:szCs w:val="24"/>
              </w:rPr>
              <w:t xml:space="preserve">, as ILO produces regular statistics that take into account both contributory and non-contributory pensions. </w:t>
            </w:r>
          </w:p>
        </w:tc>
      </w:tr>
      <w:tr w:rsidR="00322F21" w:rsidRPr="002C6871" w:rsidTr="00874777">
        <w:tc>
          <w:tcPr>
            <w:tcW w:w="2028" w:type="dxa"/>
            <w:tcBorders>
              <w:bottom w:val="single" w:sz="4" w:space="0" w:color="auto"/>
            </w:tcBorders>
            <w:shd w:val="clear" w:color="auto" w:fill="auto"/>
            <w:vAlign w:val="center"/>
          </w:tcPr>
          <w:p w:rsidR="00322F21" w:rsidRPr="002C6871" w:rsidRDefault="00322F21" w:rsidP="007C1259">
            <w:pPr>
              <w:spacing w:before="120" w:after="120"/>
              <w:rPr>
                <w:color w:val="000000"/>
                <w:sz w:val="24"/>
                <w:szCs w:val="24"/>
              </w:rPr>
            </w:pPr>
          </w:p>
        </w:tc>
        <w:tc>
          <w:tcPr>
            <w:tcW w:w="8000" w:type="dxa"/>
            <w:tcBorders>
              <w:bottom w:val="single" w:sz="4" w:space="0" w:color="auto"/>
            </w:tcBorders>
            <w:shd w:val="clear" w:color="auto" w:fill="auto"/>
            <w:vAlign w:val="center"/>
          </w:tcPr>
          <w:p w:rsidR="00322F21" w:rsidRPr="000B37DB" w:rsidRDefault="00322F21" w:rsidP="007C1259">
            <w:pPr>
              <w:spacing w:before="120" w:after="120"/>
              <w:rPr>
                <w:sz w:val="24"/>
                <w:szCs w:val="24"/>
              </w:rPr>
            </w:pPr>
          </w:p>
        </w:tc>
      </w:tr>
      <w:tr w:rsidR="00E46883" w:rsidRPr="002C6871" w:rsidTr="00874777">
        <w:tc>
          <w:tcPr>
            <w:tcW w:w="2028" w:type="dxa"/>
            <w:shd w:val="pct10" w:color="auto" w:fill="auto"/>
            <w:vAlign w:val="center"/>
          </w:tcPr>
          <w:p w:rsidR="00E46883" w:rsidRPr="002C6871" w:rsidRDefault="00E46883" w:rsidP="007C1259">
            <w:pPr>
              <w:spacing w:before="120" w:after="120"/>
              <w:rPr>
                <w:color w:val="000000"/>
                <w:sz w:val="24"/>
                <w:szCs w:val="24"/>
              </w:rPr>
            </w:pPr>
            <w:r w:rsidRPr="002C6871">
              <w:rPr>
                <w:color w:val="000000"/>
                <w:sz w:val="24"/>
                <w:szCs w:val="24"/>
              </w:rPr>
              <w:t>5. Level of disaggregation</w:t>
            </w:r>
          </w:p>
        </w:tc>
        <w:tc>
          <w:tcPr>
            <w:tcW w:w="8000" w:type="dxa"/>
            <w:shd w:val="pct10" w:color="auto" w:fill="auto"/>
            <w:vAlign w:val="center"/>
          </w:tcPr>
          <w:p w:rsidR="00292CC4" w:rsidRPr="000B37DB" w:rsidRDefault="006B1F25" w:rsidP="009E3DEE">
            <w:pPr>
              <w:spacing w:before="120" w:after="120" w:line="240" w:lineRule="auto"/>
              <w:rPr>
                <w:sz w:val="24"/>
                <w:szCs w:val="24"/>
              </w:rPr>
            </w:pPr>
            <w:r w:rsidRPr="000B37DB">
              <w:rPr>
                <w:sz w:val="24"/>
                <w:szCs w:val="24"/>
              </w:rPr>
              <w:t xml:space="preserve">This indicator may be disaggregated by </w:t>
            </w:r>
            <w:r w:rsidR="00292CC4" w:rsidRPr="000B37DB">
              <w:rPr>
                <w:sz w:val="24"/>
                <w:szCs w:val="24"/>
              </w:rPr>
              <w:t xml:space="preserve">sex and </w:t>
            </w:r>
            <w:r w:rsidR="009E3DEE">
              <w:rPr>
                <w:sz w:val="24"/>
                <w:szCs w:val="24"/>
              </w:rPr>
              <w:t xml:space="preserve">where data allows </w:t>
            </w:r>
            <w:r w:rsidRPr="000B37DB">
              <w:rPr>
                <w:sz w:val="24"/>
                <w:szCs w:val="24"/>
              </w:rPr>
              <w:t>by making the distinction between contributory and non-contributory pension</w:t>
            </w:r>
            <w:r w:rsidR="00237F32">
              <w:rPr>
                <w:sz w:val="24"/>
                <w:szCs w:val="24"/>
              </w:rPr>
              <w:t>, although the information for the latter is not available for all countries.</w:t>
            </w:r>
          </w:p>
        </w:tc>
      </w:tr>
      <w:tr w:rsidR="00E46883" w:rsidRPr="002C6871" w:rsidTr="00874777">
        <w:tc>
          <w:tcPr>
            <w:tcW w:w="2028" w:type="dxa"/>
            <w:tcBorders>
              <w:bottom w:val="single" w:sz="4" w:space="0" w:color="auto"/>
            </w:tcBorders>
            <w:shd w:val="clear" w:color="auto" w:fill="auto"/>
            <w:vAlign w:val="center"/>
          </w:tcPr>
          <w:p w:rsidR="00E46883" w:rsidRPr="002C6871" w:rsidRDefault="00E46883" w:rsidP="007C1259">
            <w:pPr>
              <w:spacing w:before="120" w:after="120"/>
              <w:rPr>
                <w:color w:val="000000"/>
                <w:sz w:val="24"/>
                <w:szCs w:val="24"/>
              </w:rPr>
            </w:pPr>
          </w:p>
        </w:tc>
        <w:tc>
          <w:tcPr>
            <w:tcW w:w="8000" w:type="dxa"/>
            <w:tcBorders>
              <w:bottom w:val="single" w:sz="4" w:space="0" w:color="auto"/>
            </w:tcBorders>
            <w:shd w:val="clear" w:color="auto" w:fill="auto"/>
            <w:vAlign w:val="center"/>
          </w:tcPr>
          <w:p w:rsidR="00E46883" w:rsidRPr="000B37DB" w:rsidRDefault="00E46883" w:rsidP="007C1259">
            <w:pPr>
              <w:spacing w:before="120" w:after="120"/>
              <w:rPr>
                <w:sz w:val="24"/>
                <w:szCs w:val="24"/>
              </w:rPr>
            </w:pPr>
          </w:p>
        </w:tc>
      </w:tr>
      <w:tr w:rsidR="00E46883" w:rsidRPr="00184CE4" w:rsidTr="00874777">
        <w:tc>
          <w:tcPr>
            <w:tcW w:w="2028" w:type="dxa"/>
            <w:shd w:val="pct10" w:color="auto" w:fill="auto"/>
          </w:tcPr>
          <w:p w:rsidR="00E46883" w:rsidRPr="002C6871" w:rsidRDefault="00E46883" w:rsidP="007C1259">
            <w:pPr>
              <w:spacing w:before="120" w:after="120"/>
              <w:rPr>
                <w:color w:val="000000"/>
                <w:sz w:val="24"/>
                <w:szCs w:val="24"/>
              </w:rPr>
            </w:pPr>
            <w:r w:rsidRPr="002C6871">
              <w:rPr>
                <w:color w:val="000000"/>
                <w:sz w:val="24"/>
                <w:szCs w:val="24"/>
              </w:rPr>
              <w:t>6. Data Sources (including any issues on (</w:t>
            </w:r>
            <w:proofErr w:type="spellStart"/>
            <w:r w:rsidRPr="002C6871">
              <w:rPr>
                <w:color w:val="000000"/>
                <w:sz w:val="24"/>
                <w:szCs w:val="24"/>
              </w:rPr>
              <w:t>i</w:t>
            </w:r>
            <w:proofErr w:type="spellEnd"/>
            <w:r w:rsidRPr="002C6871">
              <w:rPr>
                <w:color w:val="000000"/>
                <w:sz w:val="24"/>
                <w:szCs w:val="24"/>
              </w:rPr>
              <w:t xml:space="preserve">) </w:t>
            </w:r>
            <w:r>
              <w:rPr>
                <w:color w:val="000000"/>
                <w:sz w:val="24"/>
                <w:szCs w:val="24"/>
              </w:rPr>
              <w:t>different definitions by source</w:t>
            </w:r>
            <w:r w:rsidRPr="002C6871">
              <w:rPr>
                <w:color w:val="000000"/>
                <w:sz w:val="24"/>
                <w:szCs w:val="24"/>
              </w:rPr>
              <w:t>, and (ii) level of availability of the data)</w:t>
            </w:r>
          </w:p>
        </w:tc>
        <w:tc>
          <w:tcPr>
            <w:tcW w:w="8000" w:type="dxa"/>
            <w:shd w:val="pct10" w:color="auto" w:fill="auto"/>
            <w:vAlign w:val="center"/>
          </w:tcPr>
          <w:p w:rsidR="00A54D58" w:rsidRPr="00E51DFB" w:rsidRDefault="00C6073E" w:rsidP="009E3DEE">
            <w:pPr>
              <w:spacing w:before="120" w:after="120" w:line="240" w:lineRule="auto"/>
              <w:rPr>
                <w:color w:val="000000"/>
                <w:sz w:val="24"/>
                <w:szCs w:val="24"/>
              </w:rPr>
            </w:pPr>
            <w:r>
              <w:rPr>
                <w:color w:val="000000"/>
                <w:sz w:val="24"/>
                <w:szCs w:val="24"/>
              </w:rPr>
              <w:t xml:space="preserve">1. </w:t>
            </w:r>
            <w:r w:rsidR="0097580B" w:rsidRPr="00E51DFB">
              <w:rPr>
                <w:color w:val="000000"/>
                <w:sz w:val="24"/>
                <w:szCs w:val="24"/>
              </w:rPr>
              <w:t xml:space="preserve">ILO Social Protection Department database: </w:t>
            </w:r>
          </w:p>
          <w:p w:rsidR="00A54D58" w:rsidRPr="00E51DFB" w:rsidRDefault="0021628D" w:rsidP="009E3DEE">
            <w:pPr>
              <w:spacing w:before="120" w:after="120" w:line="240" w:lineRule="auto"/>
              <w:rPr>
                <w:color w:val="000000"/>
                <w:sz w:val="24"/>
                <w:szCs w:val="24"/>
              </w:rPr>
            </w:pPr>
            <w:hyperlink r:id="rId7" w:history="1">
              <w:r w:rsidR="00A54D58" w:rsidRPr="00E51DFB">
                <w:rPr>
                  <w:rStyle w:val="Hyperlink"/>
                  <w:sz w:val="24"/>
                  <w:szCs w:val="24"/>
                </w:rPr>
                <w:t>http://www.social-protection.org/gimi/gess/RessourceDownload.action?ressource.ressourceId=37897</w:t>
              </w:r>
            </w:hyperlink>
          </w:p>
          <w:p w:rsidR="00322857" w:rsidRDefault="00C6073E" w:rsidP="009E3DEE">
            <w:pPr>
              <w:spacing w:before="120" w:after="120" w:line="240" w:lineRule="auto"/>
              <w:rPr>
                <w:color w:val="000000"/>
                <w:sz w:val="24"/>
                <w:szCs w:val="24"/>
              </w:rPr>
            </w:pPr>
            <w:r>
              <w:rPr>
                <w:color w:val="000000"/>
                <w:sz w:val="24"/>
                <w:szCs w:val="24"/>
              </w:rPr>
              <w:t>This will give the proportion of the older population receiving a pension</w:t>
            </w:r>
            <w:r w:rsidR="00322857">
              <w:rPr>
                <w:color w:val="000000"/>
                <w:sz w:val="24"/>
                <w:szCs w:val="24"/>
              </w:rPr>
              <w:t xml:space="preserve">. </w:t>
            </w:r>
          </w:p>
          <w:p w:rsidR="000A091D" w:rsidRDefault="00322857" w:rsidP="009E3DEE">
            <w:pPr>
              <w:spacing w:before="120" w:after="120" w:line="240" w:lineRule="auto"/>
              <w:rPr>
                <w:color w:val="000000"/>
                <w:sz w:val="24"/>
                <w:szCs w:val="24"/>
              </w:rPr>
            </w:pPr>
            <w:r w:rsidRPr="005B374D">
              <w:rPr>
                <w:color w:val="000000"/>
                <w:sz w:val="24"/>
                <w:szCs w:val="24"/>
              </w:rPr>
              <w:t>To the extent possible, the numerator includes survivors’ and disability benefits once the beneficiary reaches the statutory pensionable age (or the age of 65). In other words, the numerator should capture all beneficiaries of an old-age pension, whether they themselves were participants in a social security scheme (contributors) or not, for instance, family members of deceased contributors who receive a part of the latter’s pension. Both in the case of survivors’ and disability benefits, it is important to note that only those who fall within the age group will be counted.</w:t>
            </w:r>
            <w:r w:rsidR="000A091D">
              <w:rPr>
                <w:color w:val="000000"/>
                <w:sz w:val="24"/>
                <w:szCs w:val="24"/>
              </w:rPr>
              <w:t xml:space="preserve"> This gives information for the latest year.</w:t>
            </w:r>
          </w:p>
          <w:p w:rsidR="000A091D" w:rsidRDefault="000A091D" w:rsidP="00322857">
            <w:pPr>
              <w:spacing w:before="120" w:after="120"/>
              <w:jc w:val="both"/>
              <w:rPr>
                <w:color w:val="000000"/>
                <w:sz w:val="24"/>
                <w:szCs w:val="24"/>
              </w:rPr>
            </w:pPr>
          </w:p>
          <w:p w:rsidR="002E7C93" w:rsidRPr="000B37DB" w:rsidRDefault="001A58D0" w:rsidP="009E3DEE">
            <w:pPr>
              <w:spacing w:line="240" w:lineRule="auto"/>
              <w:rPr>
                <w:sz w:val="24"/>
                <w:szCs w:val="24"/>
              </w:rPr>
            </w:pPr>
            <w:r>
              <w:rPr>
                <w:color w:val="000000"/>
                <w:sz w:val="24"/>
                <w:szCs w:val="24"/>
              </w:rPr>
              <w:t xml:space="preserve">2. </w:t>
            </w:r>
            <w:r w:rsidR="00322857" w:rsidRPr="005B374D">
              <w:rPr>
                <w:color w:val="000000"/>
                <w:sz w:val="24"/>
                <w:szCs w:val="24"/>
              </w:rPr>
              <w:t xml:space="preserve">The denominator corresponds to the total size of the population defined as </w:t>
            </w:r>
            <w:r w:rsidR="000A091D">
              <w:rPr>
                <w:color w:val="000000"/>
                <w:sz w:val="24"/>
                <w:szCs w:val="24"/>
              </w:rPr>
              <w:t>the population</w:t>
            </w:r>
            <w:r w:rsidR="00322857" w:rsidRPr="005B374D">
              <w:rPr>
                <w:color w:val="000000"/>
                <w:sz w:val="24"/>
                <w:szCs w:val="24"/>
              </w:rPr>
              <w:t xml:space="preserve"> aged 65 or above. The same age group should be used for the numerator.</w:t>
            </w:r>
            <w:r w:rsidR="00322857">
              <w:rPr>
                <w:color w:val="000000"/>
                <w:sz w:val="24"/>
                <w:szCs w:val="24"/>
              </w:rPr>
              <w:t xml:space="preserve"> </w:t>
            </w:r>
            <w:r w:rsidR="00322857" w:rsidRPr="000A091D">
              <w:rPr>
                <w:color w:val="000000"/>
                <w:sz w:val="24"/>
                <w:szCs w:val="24"/>
              </w:rPr>
              <w:t>(Source; ILO)</w:t>
            </w:r>
            <w:r w:rsidR="000A091D" w:rsidRPr="00E51DFB">
              <w:rPr>
                <w:color w:val="000000"/>
                <w:sz w:val="24"/>
                <w:szCs w:val="24"/>
              </w:rPr>
              <w:t>. Although the pension age will vary by country, it is usually about this age, and</w:t>
            </w:r>
            <w:r w:rsidR="000A091D">
              <w:rPr>
                <w:color w:val="000000"/>
                <w:sz w:val="24"/>
                <w:szCs w:val="24"/>
              </w:rPr>
              <w:t xml:space="preserve"> </w:t>
            </w:r>
            <w:r w:rsidR="009E3DEE">
              <w:rPr>
                <w:color w:val="000000"/>
                <w:sz w:val="24"/>
                <w:szCs w:val="24"/>
              </w:rPr>
              <w:t xml:space="preserve">using a consistent age </w:t>
            </w:r>
            <w:r w:rsidR="000A091D">
              <w:rPr>
                <w:color w:val="000000"/>
                <w:sz w:val="24"/>
                <w:szCs w:val="24"/>
              </w:rPr>
              <w:t>will ensure greater ease of calculation.</w:t>
            </w:r>
            <w:r w:rsidR="009E3DEE">
              <w:rPr>
                <w:color w:val="000000"/>
                <w:sz w:val="24"/>
                <w:szCs w:val="24"/>
              </w:rPr>
              <w:t xml:space="preserve"> </w:t>
            </w:r>
            <w:r>
              <w:rPr>
                <w:color w:val="000000"/>
                <w:sz w:val="24"/>
                <w:szCs w:val="24"/>
              </w:rPr>
              <w:t xml:space="preserve">The data is obtained from UN Population data </w:t>
            </w:r>
            <w:hyperlink r:id="rId8" w:history="1">
              <w:r w:rsidRPr="004555DE">
                <w:rPr>
                  <w:rStyle w:val="Hyperlink"/>
                  <w:sz w:val="24"/>
                  <w:szCs w:val="24"/>
                </w:rPr>
                <w:t>http://esa.un.org/unpd/wpp/Excel-Data/population.htm</w:t>
              </w:r>
            </w:hyperlink>
            <w:r>
              <w:rPr>
                <w:color w:val="000000"/>
                <w:sz w:val="24"/>
                <w:szCs w:val="24"/>
              </w:rPr>
              <w:t xml:space="preserve"> (using the "estimates" </w:t>
            </w:r>
            <w:r>
              <w:rPr>
                <w:color w:val="000000"/>
                <w:sz w:val="24"/>
                <w:szCs w:val="24"/>
              </w:rPr>
              <w:lastRenderedPageBreak/>
              <w:t>sheet. Where it is necessary to use population forecasts because estimates are not yet available</w:t>
            </w:r>
            <w:r w:rsidR="009E3DEE">
              <w:rPr>
                <w:color w:val="000000"/>
                <w:sz w:val="24"/>
                <w:szCs w:val="24"/>
              </w:rPr>
              <w:t xml:space="preserve"> for the years in question</w:t>
            </w:r>
            <w:r>
              <w:rPr>
                <w:color w:val="000000"/>
                <w:sz w:val="24"/>
                <w:szCs w:val="24"/>
              </w:rPr>
              <w:t xml:space="preserve">, use the "median fertility" variant). </w:t>
            </w:r>
            <w:r>
              <w:rPr>
                <w:sz w:val="24"/>
                <w:szCs w:val="24"/>
              </w:rPr>
              <w:t>This will give the population data that will be used for weighting.</w:t>
            </w:r>
          </w:p>
        </w:tc>
      </w:tr>
      <w:tr w:rsidR="00E46883" w:rsidRPr="00184CE4" w:rsidTr="00874777">
        <w:tc>
          <w:tcPr>
            <w:tcW w:w="2028" w:type="dxa"/>
            <w:tcBorders>
              <w:bottom w:val="single" w:sz="4" w:space="0" w:color="auto"/>
            </w:tcBorders>
            <w:shd w:val="clear" w:color="auto" w:fill="auto"/>
            <w:vAlign w:val="bottom"/>
          </w:tcPr>
          <w:p w:rsidR="00E46883" w:rsidRPr="002E7C93" w:rsidRDefault="00E46883" w:rsidP="007C1259">
            <w:pPr>
              <w:spacing w:before="120" w:after="120"/>
              <w:rPr>
                <w:color w:val="000000"/>
                <w:sz w:val="24"/>
                <w:szCs w:val="24"/>
              </w:rPr>
            </w:pPr>
          </w:p>
        </w:tc>
        <w:tc>
          <w:tcPr>
            <w:tcW w:w="8000" w:type="dxa"/>
            <w:tcBorders>
              <w:bottom w:val="single" w:sz="4" w:space="0" w:color="auto"/>
            </w:tcBorders>
            <w:shd w:val="clear" w:color="auto" w:fill="auto"/>
            <w:vAlign w:val="center"/>
          </w:tcPr>
          <w:p w:rsidR="00E46883" w:rsidRPr="000B37DB" w:rsidRDefault="00E46883" w:rsidP="007C1259">
            <w:pPr>
              <w:spacing w:before="120" w:after="120"/>
              <w:rPr>
                <w:sz w:val="24"/>
                <w:szCs w:val="24"/>
              </w:rPr>
            </w:pPr>
          </w:p>
        </w:tc>
      </w:tr>
      <w:tr w:rsidR="00E46883" w:rsidRPr="002C6871" w:rsidTr="00874777">
        <w:tc>
          <w:tcPr>
            <w:tcW w:w="2028" w:type="dxa"/>
            <w:shd w:val="pct10" w:color="auto" w:fill="auto"/>
          </w:tcPr>
          <w:p w:rsidR="00E46883" w:rsidRPr="002C6871" w:rsidRDefault="00E46883" w:rsidP="007C1259">
            <w:pPr>
              <w:spacing w:before="120" w:after="120"/>
              <w:rPr>
                <w:color w:val="000000"/>
                <w:sz w:val="24"/>
                <w:szCs w:val="24"/>
              </w:rPr>
            </w:pPr>
            <w:r w:rsidRPr="002C6871">
              <w:rPr>
                <w:color w:val="000000"/>
                <w:sz w:val="24"/>
                <w:szCs w:val="24"/>
              </w:rPr>
              <w:t>7. Data calculation (including any assumptions made)</w:t>
            </w:r>
          </w:p>
        </w:tc>
        <w:tc>
          <w:tcPr>
            <w:tcW w:w="8000" w:type="dxa"/>
            <w:shd w:val="pct10" w:color="auto" w:fill="auto"/>
            <w:vAlign w:val="center"/>
          </w:tcPr>
          <w:p w:rsidR="00322857" w:rsidRPr="00322857" w:rsidRDefault="00322857" w:rsidP="002D326E">
            <w:pPr>
              <w:spacing w:line="240" w:lineRule="auto"/>
              <w:rPr>
                <w:color w:val="000000"/>
                <w:sz w:val="24"/>
                <w:szCs w:val="24"/>
              </w:rPr>
            </w:pPr>
            <w:r w:rsidRPr="00322857">
              <w:rPr>
                <w:color w:val="000000"/>
                <w:sz w:val="24"/>
                <w:szCs w:val="24"/>
              </w:rPr>
              <w:t>To be calculated by:</w:t>
            </w:r>
          </w:p>
          <w:p w:rsidR="00322857" w:rsidRPr="00322857" w:rsidRDefault="00322857" w:rsidP="002D326E">
            <w:pPr>
              <w:spacing w:line="240" w:lineRule="auto"/>
              <w:rPr>
                <w:color w:val="000000"/>
                <w:sz w:val="24"/>
                <w:szCs w:val="24"/>
              </w:rPr>
            </w:pPr>
            <w:r w:rsidRPr="00322857">
              <w:rPr>
                <w:color w:val="000000"/>
                <w:sz w:val="24"/>
                <w:szCs w:val="24"/>
              </w:rPr>
              <w:t xml:space="preserve">- taking the latest available percentage for each country </w:t>
            </w:r>
            <w:r w:rsidR="002D326E">
              <w:rPr>
                <w:i/>
                <w:color w:val="000000"/>
                <w:sz w:val="24"/>
                <w:szCs w:val="24"/>
              </w:rPr>
              <w:t xml:space="preserve">where the EU has external action programmes </w:t>
            </w:r>
            <w:r w:rsidRPr="00322857">
              <w:rPr>
                <w:color w:val="000000"/>
                <w:sz w:val="24"/>
                <w:szCs w:val="24"/>
              </w:rPr>
              <w:t>from the database;</w:t>
            </w:r>
          </w:p>
          <w:p w:rsidR="00322857" w:rsidRPr="00322857" w:rsidRDefault="00322857" w:rsidP="002D326E">
            <w:pPr>
              <w:spacing w:line="240" w:lineRule="auto"/>
              <w:rPr>
                <w:color w:val="000000"/>
                <w:sz w:val="24"/>
                <w:szCs w:val="24"/>
              </w:rPr>
            </w:pPr>
            <w:r w:rsidRPr="00322857">
              <w:rPr>
                <w:color w:val="000000"/>
                <w:sz w:val="24"/>
                <w:szCs w:val="24"/>
              </w:rPr>
              <w:t xml:space="preserve">- multiplying this number by the </w:t>
            </w:r>
            <w:r w:rsidR="00A72165">
              <w:rPr>
                <w:color w:val="000000"/>
                <w:sz w:val="24"/>
                <w:szCs w:val="24"/>
              </w:rPr>
              <w:t xml:space="preserve">population aged 65+ </w:t>
            </w:r>
            <w:r w:rsidRPr="00322857">
              <w:rPr>
                <w:color w:val="000000"/>
                <w:sz w:val="24"/>
                <w:szCs w:val="24"/>
              </w:rPr>
              <w:t>for</w:t>
            </w:r>
            <w:r>
              <w:rPr>
                <w:color w:val="000000"/>
                <w:sz w:val="24"/>
                <w:szCs w:val="24"/>
              </w:rPr>
              <w:t xml:space="preserve"> the country in that same year</w:t>
            </w:r>
            <w:r w:rsidRPr="00322857">
              <w:rPr>
                <w:color w:val="000000"/>
                <w:sz w:val="24"/>
                <w:szCs w:val="24"/>
              </w:rPr>
              <w:t xml:space="preserve">. </w:t>
            </w:r>
          </w:p>
          <w:p w:rsidR="00322857" w:rsidRPr="00322857" w:rsidRDefault="00322857" w:rsidP="002D326E">
            <w:pPr>
              <w:spacing w:line="240" w:lineRule="auto"/>
              <w:rPr>
                <w:color w:val="000000"/>
                <w:sz w:val="24"/>
                <w:szCs w:val="24"/>
              </w:rPr>
            </w:pPr>
            <w:r w:rsidRPr="00322857">
              <w:rPr>
                <w:color w:val="000000"/>
                <w:sz w:val="24"/>
                <w:szCs w:val="24"/>
              </w:rPr>
              <w:t xml:space="preserve">-adding the above numbers </w:t>
            </w:r>
            <w:r w:rsidR="002D326E">
              <w:rPr>
                <w:color w:val="000000"/>
                <w:sz w:val="24"/>
                <w:szCs w:val="24"/>
              </w:rPr>
              <w:t>for all the countries where the EU has external action programmes</w:t>
            </w:r>
            <w:r w:rsidRPr="00322857">
              <w:rPr>
                <w:color w:val="000000"/>
                <w:sz w:val="24"/>
                <w:szCs w:val="24"/>
              </w:rPr>
              <w:t xml:space="preserve"> together. This will give the </w:t>
            </w:r>
            <w:r w:rsidRPr="00322857">
              <w:rPr>
                <w:b/>
                <w:color w:val="000000"/>
                <w:sz w:val="24"/>
                <w:szCs w:val="24"/>
              </w:rPr>
              <w:t xml:space="preserve">first </w:t>
            </w:r>
            <w:r>
              <w:rPr>
                <w:color w:val="000000"/>
                <w:sz w:val="24"/>
                <w:szCs w:val="24"/>
              </w:rPr>
              <w:t>element for a weighted</w:t>
            </w:r>
            <w:r w:rsidRPr="00322857">
              <w:rPr>
                <w:color w:val="000000"/>
                <w:sz w:val="24"/>
                <w:szCs w:val="24"/>
              </w:rPr>
              <w:t xml:space="preserve"> share of </w:t>
            </w:r>
            <w:r>
              <w:rPr>
                <w:color w:val="000000"/>
                <w:sz w:val="24"/>
                <w:szCs w:val="24"/>
              </w:rPr>
              <w:t>persons receiving pensions</w:t>
            </w:r>
          </w:p>
          <w:p w:rsidR="00322857" w:rsidRPr="00322857" w:rsidRDefault="002D326E" w:rsidP="002D326E">
            <w:pPr>
              <w:spacing w:line="240" w:lineRule="auto"/>
              <w:rPr>
                <w:color w:val="000000"/>
                <w:sz w:val="24"/>
                <w:szCs w:val="24"/>
              </w:rPr>
            </w:pPr>
            <w:r>
              <w:rPr>
                <w:color w:val="000000"/>
                <w:sz w:val="24"/>
                <w:szCs w:val="24"/>
              </w:rPr>
              <w:t xml:space="preserve">-adding </w:t>
            </w:r>
            <w:r w:rsidR="00322857" w:rsidRPr="00322857">
              <w:rPr>
                <w:color w:val="000000"/>
                <w:sz w:val="24"/>
                <w:szCs w:val="24"/>
              </w:rPr>
              <w:t xml:space="preserve">together the </w:t>
            </w:r>
            <w:r w:rsidR="00A72165">
              <w:rPr>
                <w:color w:val="000000"/>
                <w:sz w:val="24"/>
                <w:szCs w:val="24"/>
              </w:rPr>
              <w:t xml:space="preserve">population aged 65+ </w:t>
            </w:r>
            <w:r>
              <w:rPr>
                <w:color w:val="000000"/>
                <w:sz w:val="24"/>
                <w:szCs w:val="24"/>
              </w:rPr>
              <w:t>of all the countries where the EU has external action programmes</w:t>
            </w:r>
            <w:r w:rsidR="00322857" w:rsidRPr="00322857">
              <w:rPr>
                <w:color w:val="000000"/>
                <w:sz w:val="24"/>
                <w:szCs w:val="24"/>
              </w:rPr>
              <w:t xml:space="preserve">. This will give the </w:t>
            </w:r>
            <w:r w:rsidR="00322857" w:rsidRPr="00322857">
              <w:rPr>
                <w:b/>
                <w:color w:val="000000"/>
                <w:sz w:val="24"/>
                <w:szCs w:val="24"/>
              </w:rPr>
              <w:t>second</w:t>
            </w:r>
            <w:r w:rsidR="00322857" w:rsidRPr="00322857">
              <w:rPr>
                <w:color w:val="000000"/>
                <w:sz w:val="24"/>
                <w:szCs w:val="24"/>
              </w:rPr>
              <w:t xml:space="preserve"> element for a weighted </w:t>
            </w:r>
            <w:r w:rsidR="00322857">
              <w:rPr>
                <w:color w:val="000000"/>
                <w:sz w:val="24"/>
                <w:szCs w:val="24"/>
              </w:rPr>
              <w:t xml:space="preserve">share of </w:t>
            </w:r>
            <w:r w:rsidR="00A500D7">
              <w:rPr>
                <w:color w:val="000000"/>
                <w:sz w:val="24"/>
                <w:szCs w:val="24"/>
              </w:rPr>
              <w:t xml:space="preserve">older </w:t>
            </w:r>
            <w:r w:rsidR="00322857">
              <w:rPr>
                <w:color w:val="000000"/>
                <w:sz w:val="24"/>
                <w:szCs w:val="24"/>
              </w:rPr>
              <w:t>persons receiving pensions</w:t>
            </w:r>
          </w:p>
          <w:p w:rsidR="00E46883" w:rsidRDefault="00322857" w:rsidP="002D326E">
            <w:pPr>
              <w:spacing w:before="120" w:after="120" w:line="240" w:lineRule="auto"/>
              <w:rPr>
                <w:color w:val="000000"/>
                <w:sz w:val="24"/>
                <w:szCs w:val="24"/>
              </w:rPr>
            </w:pPr>
            <w:r w:rsidRPr="00322857">
              <w:rPr>
                <w:color w:val="000000"/>
                <w:sz w:val="24"/>
                <w:szCs w:val="24"/>
              </w:rPr>
              <w:t xml:space="preserve">-dividing the first element by the second element. This will give the weighted average share of </w:t>
            </w:r>
            <w:r w:rsidR="00A500D7">
              <w:rPr>
                <w:color w:val="000000"/>
                <w:sz w:val="24"/>
                <w:szCs w:val="24"/>
              </w:rPr>
              <w:t xml:space="preserve">older </w:t>
            </w:r>
            <w:r>
              <w:rPr>
                <w:color w:val="000000"/>
                <w:sz w:val="24"/>
                <w:szCs w:val="24"/>
              </w:rPr>
              <w:t>persons receiving pensions</w:t>
            </w:r>
          </w:p>
          <w:p w:rsidR="006D0B46" w:rsidRPr="000B37DB" w:rsidRDefault="006D0B46" w:rsidP="002D326E">
            <w:pPr>
              <w:spacing w:before="120" w:after="120" w:line="240" w:lineRule="auto"/>
              <w:rPr>
                <w:i/>
                <w:sz w:val="24"/>
                <w:szCs w:val="24"/>
              </w:rPr>
            </w:pPr>
          </w:p>
        </w:tc>
      </w:tr>
      <w:tr w:rsidR="00E46883" w:rsidRPr="002C6871" w:rsidTr="00874777">
        <w:tc>
          <w:tcPr>
            <w:tcW w:w="2028" w:type="dxa"/>
            <w:tcBorders>
              <w:bottom w:val="single" w:sz="4" w:space="0" w:color="auto"/>
            </w:tcBorders>
            <w:shd w:val="clear" w:color="auto" w:fill="auto"/>
            <w:vAlign w:val="bottom"/>
          </w:tcPr>
          <w:p w:rsidR="00E46883" w:rsidRPr="002C6871" w:rsidRDefault="00E46883" w:rsidP="007C1259">
            <w:pPr>
              <w:spacing w:before="120" w:after="120"/>
              <w:rPr>
                <w:color w:val="000000"/>
                <w:sz w:val="24"/>
                <w:szCs w:val="24"/>
              </w:rPr>
            </w:pPr>
          </w:p>
        </w:tc>
        <w:tc>
          <w:tcPr>
            <w:tcW w:w="8000" w:type="dxa"/>
            <w:tcBorders>
              <w:bottom w:val="single" w:sz="4" w:space="0" w:color="auto"/>
            </w:tcBorders>
            <w:shd w:val="clear" w:color="auto" w:fill="auto"/>
            <w:vAlign w:val="center"/>
          </w:tcPr>
          <w:p w:rsidR="00E46883" w:rsidRPr="000B37DB" w:rsidRDefault="00E46883" w:rsidP="007C1259">
            <w:pPr>
              <w:spacing w:before="120" w:after="120"/>
              <w:rPr>
                <w:sz w:val="24"/>
                <w:szCs w:val="24"/>
              </w:rPr>
            </w:pPr>
          </w:p>
        </w:tc>
      </w:tr>
      <w:tr w:rsidR="00E46883" w:rsidRPr="002C6871" w:rsidTr="00874777">
        <w:tc>
          <w:tcPr>
            <w:tcW w:w="2028" w:type="dxa"/>
            <w:shd w:val="pct10" w:color="auto" w:fill="auto"/>
          </w:tcPr>
          <w:p w:rsidR="00E46883" w:rsidRDefault="00E46883" w:rsidP="007C1259">
            <w:pPr>
              <w:spacing w:before="120" w:after="120"/>
              <w:rPr>
                <w:color w:val="000000"/>
                <w:sz w:val="24"/>
                <w:szCs w:val="24"/>
              </w:rPr>
            </w:pPr>
            <w:r w:rsidRPr="002C6871">
              <w:rPr>
                <w:color w:val="000000"/>
                <w:sz w:val="24"/>
                <w:szCs w:val="24"/>
              </w:rPr>
              <w:t>8. Worked examples</w:t>
            </w:r>
            <w:r w:rsidR="00135ED8">
              <w:rPr>
                <w:color w:val="000000"/>
                <w:sz w:val="24"/>
                <w:szCs w:val="24"/>
              </w:rPr>
              <w:t>*</w:t>
            </w:r>
          </w:p>
          <w:p w:rsidR="00135ED8" w:rsidRDefault="00135ED8" w:rsidP="007C1259">
            <w:pPr>
              <w:spacing w:before="120" w:after="120"/>
              <w:rPr>
                <w:color w:val="000000"/>
                <w:sz w:val="24"/>
                <w:szCs w:val="24"/>
              </w:rPr>
            </w:pPr>
          </w:p>
          <w:p w:rsidR="00135ED8" w:rsidRDefault="00135ED8" w:rsidP="007C1259">
            <w:pPr>
              <w:spacing w:before="120" w:after="120"/>
              <w:rPr>
                <w:color w:val="000000"/>
                <w:sz w:val="24"/>
                <w:szCs w:val="24"/>
              </w:rPr>
            </w:pPr>
          </w:p>
          <w:p w:rsidR="00135ED8" w:rsidRDefault="00135ED8" w:rsidP="007C1259">
            <w:pPr>
              <w:spacing w:before="120" w:after="120"/>
              <w:rPr>
                <w:color w:val="000000"/>
                <w:sz w:val="24"/>
                <w:szCs w:val="24"/>
              </w:rPr>
            </w:pPr>
          </w:p>
          <w:p w:rsidR="00135ED8" w:rsidRDefault="00135ED8" w:rsidP="007C1259">
            <w:pPr>
              <w:spacing w:before="120" w:after="120"/>
              <w:rPr>
                <w:color w:val="000000"/>
                <w:sz w:val="24"/>
                <w:szCs w:val="24"/>
              </w:rPr>
            </w:pPr>
          </w:p>
          <w:p w:rsidR="00135ED8" w:rsidRDefault="00135ED8" w:rsidP="007C1259">
            <w:pPr>
              <w:spacing w:before="120" w:after="120"/>
              <w:rPr>
                <w:color w:val="000000"/>
                <w:sz w:val="24"/>
                <w:szCs w:val="24"/>
              </w:rPr>
            </w:pPr>
          </w:p>
          <w:p w:rsidR="00135ED8" w:rsidRDefault="00135ED8" w:rsidP="007C1259">
            <w:pPr>
              <w:spacing w:before="120" w:after="120"/>
              <w:rPr>
                <w:color w:val="000000"/>
                <w:sz w:val="24"/>
                <w:szCs w:val="24"/>
              </w:rPr>
            </w:pPr>
          </w:p>
          <w:p w:rsidR="00135ED8" w:rsidRDefault="00135ED8" w:rsidP="007C1259">
            <w:pPr>
              <w:spacing w:before="120" w:after="120"/>
              <w:rPr>
                <w:color w:val="000000"/>
                <w:sz w:val="24"/>
                <w:szCs w:val="24"/>
              </w:rPr>
            </w:pPr>
          </w:p>
          <w:p w:rsidR="00135ED8" w:rsidRDefault="00135ED8" w:rsidP="007C1259">
            <w:pPr>
              <w:spacing w:before="120" w:after="120"/>
              <w:rPr>
                <w:color w:val="000000"/>
                <w:sz w:val="24"/>
                <w:szCs w:val="24"/>
              </w:rPr>
            </w:pPr>
          </w:p>
          <w:p w:rsidR="00135ED8" w:rsidRDefault="00135ED8" w:rsidP="007C1259">
            <w:pPr>
              <w:spacing w:before="120" w:after="120"/>
              <w:rPr>
                <w:color w:val="000000"/>
                <w:sz w:val="24"/>
                <w:szCs w:val="24"/>
              </w:rPr>
            </w:pPr>
          </w:p>
          <w:p w:rsidR="00135ED8" w:rsidRDefault="00135ED8" w:rsidP="007C1259">
            <w:pPr>
              <w:spacing w:before="120" w:after="120"/>
              <w:rPr>
                <w:color w:val="000000"/>
                <w:sz w:val="24"/>
                <w:szCs w:val="24"/>
              </w:rPr>
            </w:pPr>
          </w:p>
          <w:p w:rsidR="00135ED8" w:rsidRPr="002C6871" w:rsidRDefault="00135ED8" w:rsidP="00226F9A">
            <w:pPr>
              <w:spacing w:before="120" w:after="120"/>
              <w:rPr>
                <w:color w:val="000000"/>
                <w:sz w:val="24"/>
                <w:szCs w:val="24"/>
              </w:rPr>
            </w:pPr>
            <w:r>
              <w:rPr>
                <w:color w:val="000000"/>
                <w:sz w:val="24"/>
                <w:szCs w:val="24"/>
              </w:rPr>
              <w:t>*</w:t>
            </w:r>
            <w:r w:rsidRPr="00135ED8">
              <w:rPr>
                <w:color w:val="000000"/>
                <w:sz w:val="16"/>
                <w:szCs w:val="16"/>
              </w:rPr>
              <w:t>Examples correct at time of writ</w:t>
            </w:r>
            <w:r w:rsidR="00226F9A">
              <w:rPr>
                <w:color w:val="000000"/>
                <w:sz w:val="16"/>
                <w:szCs w:val="16"/>
              </w:rPr>
              <w:t>ing (Feb 2015</w:t>
            </w:r>
            <w:r w:rsidRPr="00135ED8">
              <w:rPr>
                <w:color w:val="000000"/>
                <w:sz w:val="16"/>
                <w:szCs w:val="16"/>
              </w:rPr>
              <w:t>)</w:t>
            </w:r>
          </w:p>
        </w:tc>
        <w:tc>
          <w:tcPr>
            <w:tcW w:w="8000" w:type="dxa"/>
            <w:shd w:val="pct10" w:color="auto" w:fill="auto"/>
            <w:vAlign w:val="center"/>
          </w:tcPr>
          <w:p w:rsidR="002C38F8" w:rsidRPr="00226F9A" w:rsidRDefault="008C0F46" w:rsidP="002D326E">
            <w:pPr>
              <w:spacing w:before="120" w:after="120" w:line="240" w:lineRule="auto"/>
              <w:rPr>
                <w:rFonts w:cs="Arial"/>
                <w:b/>
                <w:sz w:val="24"/>
                <w:szCs w:val="24"/>
                <w:lang w:eastAsia="en-GB"/>
              </w:rPr>
            </w:pPr>
            <w:r w:rsidRPr="00226F9A">
              <w:rPr>
                <w:rFonts w:cs="Arial"/>
                <w:b/>
                <w:sz w:val="24"/>
                <w:szCs w:val="24"/>
                <w:lang w:eastAsia="en-GB"/>
              </w:rPr>
              <w:t>Costa Rica  (pension age = 65+ for men, 62+ for women</w:t>
            </w:r>
            <w:r w:rsidR="000A091D" w:rsidRPr="00226F9A">
              <w:rPr>
                <w:rFonts w:cs="Arial"/>
                <w:b/>
                <w:sz w:val="24"/>
                <w:szCs w:val="24"/>
                <w:lang w:eastAsia="en-GB"/>
              </w:rPr>
              <w:t>, latest data =2010</w:t>
            </w:r>
            <w:r w:rsidRPr="00226F9A">
              <w:rPr>
                <w:rFonts w:cs="Arial"/>
                <w:b/>
                <w:sz w:val="24"/>
                <w:szCs w:val="24"/>
                <w:lang w:eastAsia="en-GB"/>
              </w:rPr>
              <w:t>)</w:t>
            </w:r>
          </w:p>
          <w:p w:rsidR="008C0F46" w:rsidRPr="00226F9A" w:rsidRDefault="008C0F46" w:rsidP="002D326E">
            <w:pPr>
              <w:spacing w:before="120" w:after="120" w:line="240" w:lineRule="auto"/>
              <w:rPr>
                <w:rFonts w:cs="Arial"/>
                <w:sz w:val="24"/>
                <w:szCs w:val="24"/>
                <w:lang w:eastAsia="en-GB"/>
              </w:rPr>
            </w:pPr>
            <w:r w:rsidRPr="00226F9A">
              <w:rPr>
                <w:rFonts w:cs="Arial"/>
                <w:sz w:val="24"/>
                <w:szCs w:val="24"/>
                <w:lang w:eastAsia="en-GB"/>
              </w:rPr>
              <w:t>2010 Proportion of older people receiving a pension = 55</w:t>
            </w:r>
            <w:r w:rsidR="00226F9A" w:rsidRPr="00226F9A">
              <w:rPr>
                <w:rFonts w:cs="Arial"/>
                <w:sz w:val="24"/>
                <w:szCs w:val="24"/>
                <w:lang w:eastAsia="en-GB"/>
              </w:rPr>
              <w:t>.8</w:t>
            </w:r>
            <w:r w:rsidRPr="00226F9A">
              <w:rPr>
                <w:rFonts w:cs="Arial"/>
                <w:sz w:val="24"/>
                <w:szCs w:val="24"/>
                <w:lang w:eastAsia="en-GB"/>
              </w:rPr>
              <w:t>%</w:t>
            </w:r>
          </w:p>
          <w:p w:rsidR="008C0F46" w:rsidRPr="00226F9A" w:rsidRDefault="008C0F46" w:rsidP="002D326E">
            <w:pPr>
              <w:spacing w:before="120" w:after="120" w:line="240" w:lineRule="auto"/>
              <w:rPr>
                <w:rFonts w:cs="Arial"/>
                <w:sz w:val="24"/>
                <w:szCs w:val="24"/>
                <w:lang w:eastAsia="en-GB"/>
              </w:rPr>
            </w:pPr>
            <w:r w:rsidRPr="00226F9A">
              <w:rPr>
                <w:rFonts w:cs="Arial"/>
                <w:sz w:val="24"/>
                <w:szCs w:val="24"/>
                <w:lang w:eastAsia="en-GB"/>
              </w:rPr>
              <w:t>2010 Number of people aged 65 and over=304,000</w:t>
            </w:r>
          </w:p>
          <w:p w:rsidR="008C0F46" w:rsidRPr="00226F9A" w:rsidRDefault="008C0F46" w:rsidP="002D326E">
            <w:pPr>
              <w:spacing w:before="120" w:after="120" w:line="240" w:lineRule="auto"/>
              <w:rPr>
                <w:rFonts w:cs="Arial"/>
                <w:sz w:val="24"/>
                <w:szCs w:val="24"/>
                <w:lang w:eastAsia="en-GB"/>
              </w:rPr>
            </w:pPr>
          </w:p>
          <w:p w:rsidR="008C0F46" w:rsidRPr="00226F9A" w:rsidRDefault="008C0F46" w:rsidP="002D326E">
            <w:pPr>
              <w:spacing w:before="120" w:after="120" w:line="240" w:lineRule="auto"/>
              <w:rPr>
                <w:rFonts w:cs="Arial"/>
                <w:b/>
                <w:sz w:val="24"/>
                <w:szCs w:val="24"/>
                <w:lang w:eastAsia="en-GB"/>
              </w:rPr>
            </w:pPr>
            <w:r w:rsidRPr="00226F9A">
              <w:rPr>
                <w:rFonts w:cs="Arial"/>
                <w:b/>
                <w:sz w:val="24"/>
                <w:szCs w:val="24"/>
                <w:lang w:eastAsia="en-GB"/>
              </w:rPr>
              <w:t>Zambia (pension age = 55+</w:t>
            </w:r>
            <w:r w:rsidR="000A091D" w:rsidRPr="00226F9A">
              <w:rPr>
                <w:rFonts w:cs="Arial"/>
                <w:b/>
                <w:sz w:val="24"/>
                <w:szCs w:val="24"/>
                <w:lang w:eastAsia="en-GB"/>
              </w:rPr>
              <w:t xml:space="preserve"> latest data =2008</w:t>
            </w:r>
            <w:r w:rsidRPr="00226F9A">
              <w:rPr>
                <w:rFonts w:cs="Arial"/>
                <w:b/>
                <w:sz w:val="24"/>
                <w:szCs w:val="24"/>
                <w:lang w:eastAsia="en-GB"/>
              </w:rPr>
              <w:t>)</w:t>
            </w:r>
          </w:p>
          <w:p w:rsidR="008C0F46" w:rsidRPr="00226F9A" w:rsidRDefault="008C0F46" w:rsidP="002D326E">
            <w:pPr>
              <w:spacing w:before="120" w:after="120" w:line="240" w:lineRule="auto"/>
              <w:rPr>
                <w:rFonts w:cs="Arial"/>
                <w:b/>
                <w:sz w:val="24"/>
                <w:szCs w:val="24"/>
                <w:lang w:eastAsia="en-GB"/>
              </w:rPr>
            </w:pPr>
          </w:p>
          <w:p w:rsidR="008C0F46" w:rsidRPr="00226F9A" w:rsidRDefault="008C0F46" w:rsidP="002D326E">
            <w:pPr>
              <w:spacing w:before="120" w:after="120" w:line="240" w:lineRule="auto"/>
              <w:rPr>
                <w:rFonts w:cs="Arial"/>
                <w:sz w:val="24"/>
                <w:szCs w:val="24"/>
                <w:lang w:eastAsia="en-GB"/>
              </w:rPr>
            </w:pPr>
            <w:r w:rsidRPr="00226F9A">
              <w:rPr>
                <w:rFonts w:cs="Arial"/>
                <w:sz w:val="24"/>
                <w:szCs w:val="24"/>
                <w:lang w:eastAsia="en-GB"/>
              </w:rPr>
              <w:t xml:space="preserve">2008 Proportion of older people receiving a pension = </w:t>
            </w:r>
            <w:r w:rsidR="000A091D" w:rsidRPr="00226F9A">
              <w:rPr>
                <w:rFonts w:cs="Arial"/>
                <w:sz w:val="24"/>
                <w:szCs w:val="24"/>
                <w:lang w:eastAsia="en-GB"/>
              </w:rPr>
              <w:t>7.7</w:t>
            </w:r>
            <w:r w:rsidRPr="00226F9A">
              <w:rPr>
                <w:rFonts w:cs="Arial"/>
                <w:sz w:val="24"/>
                <w:szCs w:val="24"/>
                <w:lang w:eastAsia="en-GB"/>
              </w:rPr>
              <w:t>%</w:t>
            </w:r>
          </w:p>
          <w:p w:rsidR="008C0F46" w:rsidRPr="00226F9A" w:rsidRDefault="008C0F46" w:rsidP="002D326E">
            <w:pPr>
              <w:spacing w:before="120" w:after="120" w:line="240" w:lineRule="auto"/>
              <w:rPr>
                <w:rFonts w:cs="Arial"/>
                <w:sz w:val="24"/>
                <w:szCs w:val="24"/>
                <w:lang w:eastAsia="en-GB"/>
              </w:rPr>
            </w:pPr>
            <w:r w:rsidRPr="00226F9A">
              <w:rPr>
                <w:rFonts w:cs="Arial"/>
                <w:sz w:val="24"/>
                <w:szCs w:val="24"/>
                <w:lang w:eastAsia="en-GB"/>
              </w:rPr>
              <w:t>2008 Numbe</w:t>
            </w:r>
            <w:r w:rsidR="00226F9A" w:rsidRPr="00226F9A">
              <w:rPr>
                <w:rFonts w:cs="Arial"/>
                <w:sz w:val="24"/>
                <w:szCs w:val="24"/>
                <w:lang w:eastAsia="en-GB"/>
              </w:rPr>
              <w:t>r of people aged 65 and over=311</w:t>
            </w:r>
            <w:r w:rsidRPr="00226F9A">
              <w:rPr>
                <w:rFonts w:cs="Arial"/>
                <w:sz w:val="24"/>
                <w:szCs w:val="24"/>
                <w:lang w:eastAsia="en-GB"/>
              </w:rPr>
              <w:t>,000</w:t>
            </w:r>
            <w:r w:rsidR="000A091D" w:rsidRPr="00226F9A">
              <w:rPr>
                <w:rFonts w:cs="Arial"/>
                <w:sz w:val="24"/>
                <w:szCs w:val="24"/>
                <w:lang w:eastAsia="en-GB"/>
              </w:rPr>
              <w:t xml:space="preserve"> (</w:t>
            </w:r>
            <w:r w:rsidR="00C97C7D" w:rsidRPr="00226F9A">
              <w:rPr>
                <w:rFonts w:cs="Arial"/>
                <w:sz w:val="24"/>
                <w:szCs w:val="24"/>
                <w:lang w:eastAsia="en-GB"/>
              </w:rPr>
              <w:t xml:space="preserve">using the nearest </w:t>
            </w:r>
            <w:r w:rsidR="000A091D" w:rsidRPr="00226F9A">
              <w:rPr>
                <w:rFonts w:cs="Arial"/>
                <w:sz w:val="24"/>
                <w:szCs w:val="24"/>
                <w:lang w:eastAsia="en-GB"/>
              </w:rPr>
              <w:t xml:space="preserve">UN data </w:t>
            </w:r>
            <w:r w:rsidR="00C97C7D" w:rsidRPr="00226F9A">
              <w:rPr>
                <w:rFonts w:cs="Arial"/>
                <w:sz w:val="24"/>
                <w:szCs w:val="24"/>
                <w:lang w:eastAsia="en-GB"/>
              </w:rPr>
              <w:t xml:space="preserve">point to 2008, which is </w:t>
            </w:r>
            <w:r w:rsidR="000A091D" w:rsidRPr="00226F9A">
              <w:rPr>
                <w:rFonts w:cs="Arial"/>
                <w:sz w:val="24"/>
                <w:szCs w:val="24"/>
                <w:lang w:eastAsia="en-GB"/>
              </w:rPr>
              <w:t>2005)</w:t>
            </w:r>
          </w:p>
          <w:p w:rsidR="008C0F46" w:rsidRPr="00226F9A" w:rsidRDefault="008C0F46" w:rsidP="002D326E">
            <w:pPr>
              <w:spacing w:before="120" w:after="120" w:line="240" w:lineRule="auto"/>
              <w:rPr>
                <w:rFonts w:cs="Arial"/>
                <w:b/>
                <w:sz w:val="24"/>
                <w:szCs w:val="24"/>
                <w:lang w:eastAsia="en-GB"/>
              </w:rPr>
            </w:pPr>
          </w:p>
          <w:p w:rsidR="000A091D" w:rsidRPr="00226F9A" w:rsidRDefault="000A091D" w:rsidP="002D326E">
            <w:pPr>
              <w:autoSpaceDE w:val="0"/>
              <w:autoSpaceDN w:val="0"/>
              <w:adjustRightInd w:val="0"/>
              <w:spacing w:after="0" w:line="240" w:lineRule="auto"/>
              <w:rPr>
                <w:rFonts w:cs="Arial"/>
                <w:sz w:val="24"/>
                <w:szCs w:val="24"/>
                <w:lang w:eastAsia="en-GB"/>
              </w:rPr>
            </w:pPr>
            <w:r w:rsidRPr="00226F9A">
              <w:rPr>
                <w:rFonts w:cs="Arial"/>
                <w:sz w:val="24"/>
                <w:szCs w:val="24"/>
                <w:lang w:eastAsia="en-GB"/>
              </w:rPr>
              <w:t xml:space="preserve">Weighted proportion of older people receiving a pension, for Costa Rica and Zambia </w:t>
            </w:r>
          </w:p>
          <w:p w:rsidR="000A091D" w:rsidRPr="00226F9A" w:rsidRDefault="000A091D" w:rsidP="002D326E">
            <w:pPr>
              <w:autoSpaceDE w:val="0"/>
              <w:autoSpaceDN w:val="0"/>
              <w:adjustRightInd w:val="0"/>
              <w:spacing w:after="0" w:line="240" w:lineRule="auto"/>
              <w:rPr>
                <w:rFonts w:cs="Arial"/>
                <w:sz w:val="24"/>
                <w:szCs w:val="24"/>
                <w:lang w:eastAsia="en-GB"/>
              </w:rPr>
            </w:pPr>
          </w:p>
          <w:p w:rsidR="000A091D" w:rsidRPr="00226F9A" w:rsidRDefault="000A091D" w:rsidP="002D326E">
            <w:pPr>
              <w:autoSpaceDE w:val="0"/>
              <w:autoSpaceDN w:val="0"/>
              <w:adjustRightInd w:val="0"/>
              <w:spacing w:after="0" w:line="240" w:lineRule="auto"/>
              <w:rPr>
                <w:rFonts w:cs="Arial"/>
                <w:sz w:val="24"/>
                <w:szCs w:val="24"/>
                <w:lang w:eastAsia="en-GB"/>
              </w:rPr>
            </w:pPr>
            <w:r w:rsidRPr="00226F9A">
              <w:rPr>
                <w:rFonts w:cs="Arial"/>
                <w:sz w:val="24"/>
                <w:szCs w:val="24"/>
                <w:lang w:eastAsia="en-GB"/>
              </w:rPr>
              <w:t xml:space="preserve">= </w:t>
            </w:r>
            <w:r w:rsidRPr="00226F9A">
              <w:rPr>
                <w:rFonts w:cs="Arial"/>
                <w:sz w:val="24"/>
                <w:szCs w:val="24"/>
                <w:u w:val="single"/>
                <w:lang w:eastAsia="en-GB"/>
              </w:rPr>
              <w:t>(0.55</w:t>
            </w:r>
            <w:r w:rsidR="00226F9A" w:rsidRPr="00226F9A">
              <w:rPr>
                <w:rFonts w:cs="Arial"/>
                <w:sz w:val="24"/>
                <w:szCs w:val="24"/>
                <w:u w:val="single"/>
                <w:lang w:eastAsia="en-GB"/>
              </w:rPr>
              <w:t>8</w:t>
            </w:r>
            <w:r w:rsidRPr="00226F9A">
              <w:rPr>
                <w:rFonts w:cs="Arial"/>
                <w:sz w:val="24"/>
                <w:szCs w:val="24"/>
                <w:u w:val="single"/>
                <w:lang w:eastAsia="en-GB"/>
              </w:rPr>
              <w:t>*304,000 + 0.077*</w:t>
            </w:r>
            <w:r w:rsidR="00226F9A" w:rsidRPr="00226F9A">
              <w:rPr>
                <w:rFonts w:cs="Arial"/>
                <w:sz w:val="24"/>
                <w:szCs w:val="24"/>
                <w:u w:val="single"/>
                <w:lang w:eastAsia="en-GB"/>
              </w:rPr>
              <w:t>311</w:t>
            </w:r>
            <w:r w:rsidRPr="00226F9A">
              <w:rPr>
                <w:rFonts w:cs="Arial"/>
                <w:sz w:val="24"/>
                <w:szCs w:val="24"/>
                <w:u w:val="single"/>
                <w:lang w:eastAsia="en-GB"/>
              </w:rPr>
              <w:t>,000)</w:t>
            </w:r>
          </w:p>
          <w:p w:rsidR="000A091D" w:rsidRPr="00226F9A" w:rsidRDefault="006D0B46" w:rsidP="002D326E">
            <w:pPr>
              <w:spacing w:line="240" w:lineRule="auto"/>
              <w:rPr>
                <w:sz w:val="24"/>
                <w:szCs w:val="24"/>
              </w:rPr>
            </w:pPr>
            <w:r>
              <w:rPr>
                <w:sz w:val="24"/>
                <w:szCs w:val="24"/>
              </w:rPr>
              <w:t xml:space="preserve">   </w:t>
            </w:r>
            <w:r w:rsidR="000A091D" w:rsidRPr="00226F9A">
              <w:rPr>
                <w:sz w:val="24"/>
                <w:szCs w:val="24"/>
              </w:rPr>
              <w:t>(304</w:t>
            </w:r>
            <w:r w:rsidR="00226F9A" w:rsidRPr="00226F9A">
              <w:rPr>
                <w:rFonts w:cs="Arial"/>
                <w:sz w:val="24"/>
                <w:szCs w:val="24"/>
                <w:lang w:eastAsia="en-GB"/>
              </w:rPr>
              <w:t>,000 + 311</w:t>
            </w:r>
            <w:r w:rsidR="000A091D" w:rsidRPr="00226F9A">
              <w:rPr>
                <w:rFonts w:cs="Arial"/>
                <w:sz w:val="24"/>
                <w:szCs w:val="24"/>
                <w:lang w:eastAsia="en-GB"/>
              </w:rPr>
              <w:t>,000</w:t>
            </w:r>
            <w:r w:rsidR="000A091D" w:rsidRPr="00226F9A">
              <w:rPr>
                <w:sz w:val="24"/>
                <w:szCs w:val="24"/>
              </w:rPr>
              <w:t>)</w:t>
            </w:r>
          </w:p>
          <w:p w:rsidR="008C0F46" w:rsidRPr="000B37DB" w:rsidRDefault="00226F9A" w:rsidP="002D326E">
            <w:pPr>
              <w:autoSpaceDE w:val="0"/>
              <w:autoSpaceDN w:val="0"/>
              <w:adjustRightInd w:val="0"/>
              <w:spacing w:after="0" w:line="240" w:lineRule="auto"/>
              <w:rPr>
                <w:rFonts w:cs="Arial"/>
                <w:sz w:val="24"/>
                <w:szCs w:val="24"/>
                <w:lang w:eastAsia="en-GB"/>
              </w:rPr>
            </w:pPr>
            <w:r w:rsidRPr="00226F9A">
              <w:rPr>
                <w:sz w:val="24"/>
                <w:szCs w:val="24"/>
              </w:rPr>
              <w:t>= 31</w:t>
            </w:r>
            <w:r w:rsidR="000A091D" w:rsidRPr="00226F9A">
              <w:rPr>
                <w:sz w:val="24"/>
                <w:szCs w:val="24"/>
              </w:rPr>
              <w:t>%</w:t>
            </w:r>
            <w:r w:rsidR="000A091D">
              <w:rPr>
                <w:sz w:val="24"/>
                <w:szCs w:val="24"/>
              </w:rPr>
              <w:t xml:space="preserve"> </w:t>
            </w:r>
          </w:p>
        </w:tc>
      </w:tr>
      <w:tr w:rsidR="00E46883" w:rsidRPr="002C6871" w:rsidTr="00874777">
        <w:tc>
          <w:tcPr>
            <w:tcW w:w="2028" w:type="dxa"/>
            <w:tcBorders>
              <w:bottom w:val="single" w:sz="4" w:space="0" w:color="auto"/>
            </w:tcBorders>
            <w:shd w:val="clear" w:color="auto" w:fill="auto"/>
            <w:vAlign w:val="bottom"/>
          </w:tcPr>
          <w:p w:rsidR="00E46883" w:rsidRPr="002C6871" w:rsidRDefault="00E46883" w:rsidP="007C1259">
            <w:pPr>
              <w:spacing w:before="120" w:after="120"/>
              <w:rPr>
                <w:color w:val="000000"/>
                <w:sz w:val="24"/>
                <w:szCs w:val="24"/>
              </w:rPr>
            </w:pPr>
          </w:p>
        </w:tc>
        <w:tc>
          <w:tcPr>
            <w:tcW w:w="8000" w:type="dxa"/>
            <w:tcBorders>
              <w:bottom w:val="single" w:sz="4" w:space="0" w:color="auto"/>
            </w:tcBorders>
            <w:shd w:val="clear" w:color="auto" w:fill="auto"/>
            <w:vAlign w:val="center"/>
          </w:tcPr>
          <w:p w:rsidR="00E46883" w:rsidRPr="000B37DB" w:rsidRDefault="00E46883" w:rsidP="007C1259">
            <w:pPr>
              <w:spacing w:before="120" w:after="120"/>
              <w:rPr>
                <w:sz w:val="24"/>
                <w:szCs w:val="24"/>
              </w:rPr>
            </w:pPr>
          </w:p>
        </w:tc>
      </w:tr>
      <w:tr w:rsidR="00E46883" w:rsidRPr="002C6871" w:rsidTr="00874777">
        <w:tc>
          <w:tcPr>
            <w:tcW w:w="2028" w:type="dxa"/>
            <w:shd w:val="pct10" w:color="auto" w:fill="auto"/>
            <w:vAlign w:val="bottom"/>
          </w:tcPr>
          <w:p w:rsidR="00E46883" w:rsidRPr="002C6871" w:rsidRDefault="00E46883" w:rsidP="007C1259">
            <w:pPr>
              <w:spacing w:before="120" w:after="120"/>
              <w:rPr>
                <w:color w:val="000000"/>
                <w:sz w:val="24"/>
                <w:szCs w:val="24"/>
              </w:rPr>
            </w:pPr>
            <w:r w:rsidRPr="002C6871">
              <w:rPr>
                <w:color w:val="000000"/>
                <w:sz w:val="24"/>
                <w:szCs w:val="24"/>
              </w:rPr>
              <w:t>9. Is it used by another organization</w:t>
            </w:r>
            <w:r>
              <w:rPr>
                <w:color w:val="000000"/>
                <w:sz w:val="24"/>
                <w:szCs w:val="24"/>
              </w:rPr>
              <w:t xml:space="preserve"> or in the framework of international initiatives, conventions, etc</w:t>
            </w:r>
            <w:r w:rsidRPr="002C6871">
              <w:rPr>
                <w:color w:val="000000"/>
                <w:sz w:val="24"/>
                <w:szCs w:val="24"/>
              </w:rPr>
              <w:t>? I</w:t>
            </w:r>
            <w:r>
              <w:rPr>
                <w:color w:val="000000"/>
                <w:sz w:val="24"/>
                <w:szCs w:val="24"/>
              </w:rPr>
              <w:t>f</w:t>
            </w:r>
            <w:r w:rsidRPr="002C6871">
              <w:rPr>
                <w:color w:val="000000"/>
                <w:sz w:val="24"/>
                <w:szCs w:val="24"/>
              </w:rPr>
              <w:t xml:space="preserve"> so, which?</w:t>
            </w:r>
          </w:p>
        </w:tc>
        <w:tc>
          <w:tcPr>
            <w:tcW w:w="8000" w:type="dxa"/>
            <w:shd w:val="pct10" w:color="auto" w:fill="auto"/>
            <w:vAlign w:val="center"/>
          </w:tcPr>
          <w:p w:rsidR="00E46883" w:rsidRPr="000B37DB" w:rsidRDefault="006B1F25" w:rsidP="00106702">
            <w:pPr>
              <w:spacing w:before="120" w:after="120"/>
              <w:rPr>
                <w:sz w:val="24"/>
                <w:szCs w:val="24"/>
              </w:rPr>
            </w:pPr>
            <w:r w:rsidRPr="000B37DB">
              <w:rPr>
                <w:sz w:val="24"/>
                <w:szCs w:val="24"/>
              </w:rPr>
              <w:t>This is one of the indicators that the ILO is currently proposing in the framework of the post-2015 Agenda.</w:t>
            </w:r>
          </w:p>
        </w:tc>
      </w:tr>
      <w:tr w:rsidR="00E46883" w:rsidRPr="002C6871" w:rsidTr="00874777">
        <w:tc>
          <w:tcPr>
            <w:tcW w:w="2028" w:type="dxa"/>
            <w:tcBorders>
              <w:bottom w:val="single" w:sz="4" w:space="0" w:color="auto"/>
            </w:tcBorders>
            <w:shd w:val="clear" w:color="auto" w:fill="auto"/>
            <w:vAlign w:val="bottom"/>
          </w:tcPr>
          <w:p w:rsidR="00E46883" w:rsidRPr="002C6871" w:rsidRDefault="00E46883" w:rsidP="007C1259">
            <w:pPr>
              <w:spacing w:before="120" w:after="120"/>
              <w:rPr>
                <w:color w:val="000000"/>
                <w:sz w:val="24"/>
                <w:szCs w:val="24"/>
              </w:rPr>
            </w:pPr>
          </w:p>
        </w:tc>
        <w:tc>
          <w:tcPr>
            <w:tcW w:w="8000" w:type="dxa"/>
            <w:tcBorders>
              <w:bottom w:val="single" w:sz="4" w:space="0" w:color="auto"/>
            </w:tcBorders>
            <w:shd w:val="clear" w:color="auto" w:fill="auto"/>
            <w:vAlign w:val="center"/>
          </w:tcPr>
          <w:p w:rsidR="00E46883" w:rsidRPr="000B37DB" w:rsidRDefault="00E46883" w:rsidP="007C1259">
            <w:pPr>
              <w:spacing w:before="120" w:after="120"/>
              <w:rPr>
                <w:sz w:val="24"/>
                <w:szCs w:val="24"/>
              </w:rPr>
            </w:pPr>
          </w:p>
        </w:tc>
      </w:tr>
      <w:tr w:rsidR="00E46883" w:rsidRPr="002C6871" w:rsidTr="00874777">
        <w:tc>
          <w:tcPr>
            <w:tcW w:w="2028" w:type="dxa"/>
            <w:shd w:val="pct10" w:color="auto" w:fill="auto"/>
          </w:tcPr>
          <w:p w:rsidR="00E46883" w:rsidRPr="002C6871" w:rsidRDefault="00E46883" w:rsidP="007C1259">
            <w:pPr>
              <w:spacing w:before="120" w:after="120"/>
              <w:rPr>
                <w:color w:val="000000"/>
                <w:sz w:val="24"/>
                <w:szCs w:val="24"/>
              </w:rPr>
            </w:pPr>
            <w:r w:rsidRPr="002C6871">
              <w:rPr>
                <w:color w:val="000000"/>
                <w:sz w:val="24"/>
                <w:szCs w:val="24"/>
              </w:rPr>
              <w:t>10.Other issues</w:t>
            </w:r>
          </w:p>
        </w:tc>
        <w:tc>
          <w:tcPr>
            <w:tcW w:w="8000" w:type="dxa"/>
            <w:shd w:val="pct10" w:color="auto" w:fill="auto"/>
            <w:vAlign w:val="center"/>
          </w:tcPr>
          <w:p w:rsidR="00322857" w:rsidRPr="000B37DB" w:rsidRDefault="00322857" w:rsidP="002D326E">
            <w:pPr>
              <w:spacing w:before="120" w:after="120" w:line="240" w:lineRule="auto"/>
              <w:rPr>
                <w:rFonts w:cs="Arial"/>
                <w:sz w:val="24"/>
                <w:szCs w:val="24"/>
                <w:lang w:eastAsia="en-GB"/>
              </w:rPr>
            </w:pPr>
            <w:r w:rsidRPr="000B37DB">
              <w:rPr>
                <w:rFonts w:cs="Arial"/>
                <w:sz w:val="24"/>
                <w:szCs w:val="24"/>
                <w:lang w:eastAsia="en-GB"/>
              </w:rPr>
              <w:t xml:space="preserve">This is an </w:t>
            </w:r>
            <w:proofErr w:type="spellStart"/>
            <w:r w:rsidRPr="000B37DB">
              <w:rPr>
                <w:rFonts w:cs="Arial"/>
                <w:sz w:val="24"/>
                <w:szCs w:val="24"/>
                <w:lang w:eastAsia="en-GB"/>
              </w:rPr>
              <w:t>ILO</w:t>
            </w:r>
            <w:proofErr w:type="spellEnd"/>
            <w:r w:rsidRPr="000B37DB">
              <w:rPr>
                <w:rFonts w:cs="Arial"/>
                <w:sz w:val="24"/>
                <w:szCs w:val="24"/>
                <w:lang w:eastAsia="en-GB"/>
              </w:rPr>
              <w:t xml:space="preserve"> monitored indicator, </w:t>
            </w:r>
            <w:r w:rsidR="002D326E">
              <w:rPr>
                <w:rFonts w:cs="Arial"/>
                <w:sz w:val="24"/>
                <w:szCs w:val="24"/>
                <w:lang w:eastAsia="en-GB"/>
              </w:rPr>
              <w:t xml:space="preserve">which </w:t>
            </w:r>
            <w:r w:rsidRPr="000B37DB">
              <w:rPr>
                <w:rFonts w:cs="Arial"/>
                <w:sz w:val="24"/>
                <w:szCs w:val="24"/>
                <w:lang w:eastAsia="en-GB"/>
              </w:rPr>
              <w:t>exi</w:t>
            </w:r>
            <w:r w:rsidR="002D326E">
              <w:rPr>
                <w:rFonts w:cs="Arial"/>
                <w:sz w:val="24"/>
                <w:szCs w:val="24"/>
                <w:lang w:eastAsia="en-GB"/>
              </w:rPr>
              <w:t>sts for 175 countries. The share of older persons receiving pensions stands at</w:t>
            </w:r>
            <w:r w:rsidRPr="000B37DB">
              <w:rPr>
                <w:rFonts w:cs="Arial"/>
                <w:sz w:val="24"/>
                <w:szCs w:val="24"/>
                <w:lang w:eastAsia="en-GB"/>
              </w:rPr>
              <w:t xml:space="preserve"> </w:t>
            </w:r>
            <w:r w:rsidRPr="00E51DFB">
              <w:rPr>
                <w:rFonts w:cs="Arial"/>
                <w:sz w:val="24"/>
                <w:szCs w:val="24"/>
                <w:lang w:eastAsia="en-GB"/>
              </w:rPr>
              <w:t>51.5%</w:t>
            </w:r>
            <w:r w:rsidRPr="000B37DB">
              <w:rPr>
                <w:rFonts w:cs="Arial"/>
                <w:sz w:val="24"/>
                <w:szCs w:val="24"/>
                <w:lang w:eastAsia="en-GB"/>
              </w:rPr>
              <w:t xml:space="preserve"> (weighted world average, latest available year</w:t>
            </w:r>
            <w:r w:rsidR="008F52F6">
              <w:rPr>
                <w:rFonts w:cs="Arial"/>
                <w:sz w:val="24"/>
                <w:szCs w:val="24"/>
                <w:lang w:eastAsia="en-GB"/>
              </w:rPr>
              <w:t xml:space="preserve"> 2014</w:t>
            </w:r>
            <w:r w:rsidR="00E51DFB">
              <w:rPr>
                <w:rFonts w:cs="Arial"/>
                <w:sz w:val="24"/>
                <w:szCs w:val="24"/>
                <w:lang w:eastAsia="en-GB"/>
              </w:rPr>
              <w:t>)</w:t>
            </w:r>
          </w:p>
          <w:p w:rsidR="00E46883" w:rsidRDefault="008F52F6" w:rsidP="002D326E">
            <w:pPr>
              <w:spacing w:before="120" w:after="120" w:line="240" w:lineRule="auto"/>
              <w:rPr>
                <w:sz w:val="24"/>
                <w:szCs w:val="24"/>
              </w:rPr>
            </w:pPr>
            <w:r>
              <w:rPr>
                <w:sz w:val="24"/>
                <w:szCs w:val="24"/>
              </w:rPr>
              <w:t>Developing Economies 44.3%</w:t>
            </w:r>
          </w:p>
          <w:p w:rsidR="008F52F6" w:rsidRDefault="008F52F6" w:rsidP="002D326E">
            <w:pPr>
              <w:spacing w:before="120" w:after="120" w:line="240" w:lineRule="auto"/>
              <w:rPr>
                <w:sz w:val="24"/>
                <w:szCs w:val="24"/>
              </w:rPr>
            </w:pPr>
            <w:r>
              <w:rPr>
                <w:sz w:val="24"/>
                <w:szCs w:val="24"/>
              </w:rPr>
              <w:t>LDCs 16.8%</w:t>
            </w:r>
          </w:p>
          <w:p w:rsidR="008F52F6" w:rsidRDefault="008F52F6" w:rsidP="002D326E">
            <w:pPr>
              <w:spacing w:before="120" w:after="120" w:line="240" w:lineRule="auto"/>
              <w:rPr>
                <w:sz w:val="24"/>
                <w:szCs w:val="24"/>
              </w:rPr>
            </w:pPr>
            <w:r>
              <w:rPr>
                <w:sz w:val="24"/>
                <w:szCs w:val="24"/>
              </w:rPr>
              <w:t>LIC and MIC 24.6%</w:t>
            </w:r>
          </w:p>
          <w:p w:rsidR="008F52F6" w:rsidRDefault="008F52F6" w:rsidP="002D326E">
            <w:pPr>
              <w:spacing w:before="120" w:after="120" w:line="240" w:lineRule="auto"/>
              <w:rPr>
                <w:sz w:val="24"/>
                <w:szCs w:val="24"/>
              </w:rPr>
            </w:pPr>
            <w:r>
              <w:rPr>
                <w:sz w:val="24"/>
                <w:szCs w:val="24"/>
              </w:rPr>
              <w:t>Emerging Economies 71.5%</w:t>
            </w:r>
          </w:p>
          <w:p w:rsidR="008F52F6" w:rsidRDefault="008F52F6" w:rsidP="002D326E">
            <w:pPr>
              <w:spacing w:before="120" w:after="120" w:line="240" w:lineRule="auto"/>
              <w:rPr>
                <w:sz w:val="24"/>
                <w:szCs w:val="24"/>
              </w:rPr>
            </w:pPr>
            <w:r>
              <w:rPr>
                <w:sz w:val="24"/>
                <w:szCs w:val="24"/>
              </w:rPr>
              <w:t>Developed Economies 89.1%</w:t>
            </w:r>
          </w:p>
          <w:p w:rsidR="006D0B46" w:rsidRPr="000B37DB" w:rsidRDefault="006D0B46" w:rsidP="002D326E">
            <w:pPr>
              <w:spacing w:before="120" w:after="120" w:line="240" w:lineRule="auto"/>
              <w:rPr>
                <w:sz w:val="24"/>
                <w:szCs w:val="24"/>
              </w:rPr>
            </w:pPr>
          </w:p>
        </w:tc>
      </w:tr>
    </w:tbl>
    <w:p w:rsidR="00322F21" w:rsidRPr="002C6871" w:rsidRDefault="007C1259" w:rsidP="004F2A0A">
      <w:pPr>
        <w:spacing w:before="120" w:after="120"/>
        <w:rPr>
          <w:sz w:val="24"/>
          <w:szCs w:val="24"/>
        </w:rPr>
      </w:pPr>
      <w:r>
        <w:rPr>
          <w:sz w:val="24"/>
          <w:szCs w:val="24"/>
        </w:rPr>
        <w:tab/>
      </w:r>
    </w:p>
    <w:sectPr w:rsidR="00322F21" w:rsidRPr="002C6871" w:rsidSect="008747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71E7A"/>
    <w:multiLevelType w:val="hybridMultilevel"/>
    <w:tmpl w:val="67D23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423701"/>
    <w:multiLevelType w:val="hybridMultilevel"/>
    <w:tmpl w:val="1A523D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CA672C8"/>
    <w:multiLevelType w:val="hybridMultilevel"/>
    <w:tmpl w:val="7EB43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774621F"/>
    <w:multiLevelType w:val="hybridMultilevel"/>
    <w:tmpl w:val="D39A6A84"/>
    <w:lvl w:ilvl="0" w:tplc="1AE2B0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BE66DD3"/>
    <w:multiLevelType w:val="hybridMultilevel"/>
    <w:tmpl w:val="F16E9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22F21"/>
    <w:rsid w:val="00022802"/>
    <w:rsid w:val="000475BB"/>
    <w:rsid w:val="000665D3"/>
    <w:rsid w:val="000A091D"/>
    <w:rsid w:val="000B2198"/>
    <w:rsid w:val="000B37DB"/>
    <w:rsid w:val="00106702"/>
    <w:rsid w:val="00135ED8"/>
    <w:rsid w:val="00143DD5"/>
    <w:rsid w:val="00171F62"/>
    <w:rsid w:val="00184CE4"/>
    <w:rsid w:val="001A58D0"/>
    <w:rsid w:val="0021628D"/>
    <w:rsid w:val="00226F9A"/>
    <w:rsid w:val="00237F32"/>
    <w:rsid w:val="00285BC6"/>
    <w:rsid w:val="00292CC4"/>
    <w:rsid w:val="002C38F8"/>
    <w:rsid w:val="002C6871"/>
    <w:rsid w:val="002D326E"/>
    <w:rsid w:val="002E7C93"/>
    <w:rsid w:val="00322857"/>
    <w:rsid w:val="00322F21"/>
    <w:rsid w:val="003308FC"/>
    <w:rsid w:val="003A18DF"/>
    <w:rsid w:val="003B1464"/>
    <w:rsid w:val="003D428A"/>
    <w:rsid w:val="003F1651"/>
    <w:rsid w:val="00403A3E"/>
    <w:rsid w:val="004612B5"/>
    <w:rsid w:val="00496486"/>
    <w:rsid w:val="004972AE"/>
    <w:rsid w:val="004A7535"/>
    <w:rsid w:val="004E292E"/>
    <w:rsid w:val="004F2A0A"/>
    <w:rsid w:val="00504A9A"/>
    <w:rsid w:val="00542C29"/>
    <w:rsid w:val="00576C4B"/>
    <w:rsid w:val="00585497"/>
    <w:rsid w:val="00631D80"/>
    <w:rsid w:val="006424E6"/>
    <w:rsid w:val="006B1F25"/>
    <w:rsid w:val="006D0B46"/>
    <w:rsid w:val="006E533A"/>
    <w:rsid w:val="00712AA8"/>
    <w:rsid w:val="007C1259"/>
    <w:rsid w:val="007C3905"/>
    <w:rsid w:val="00800C87"/>
    <w:rsid w:val="00826AB6"/>
    <w:rsid w:val="00862B80"/>
    <w:rsid w:val="00874777"/>
    <w:rsid w:val="008C0F46"/>
    <w:rsid w:val="008D4AB8"/>
    <w:rsid w:val="008F52F6"/>
    <w:rsid w:val="0093388B"/>
    <w:rsid w:val="009643AD"/>
    <w:rsid w:val="0097580B"/>
    <w:rsid w:val="009A25AF"/>
    <w:rsid w:val="009D3905"/>
    <w:rsid w:val="009E3DEE"/>
    <w:rsid w:val="00A500D7"/>
    <w:rsid w:val="00A54D58"/>
    <w:rsid w:val="00A72165"/>
    <w:rsid w:val="00AD51F2"/>
    <w:rsid w:val="00B517F7"/>
    <w:rsid w:val="00B70805"/>
    <w:rsid w:val="00BC213A"/>
    <w:rsid w:val="00C6073E"/>
    <w:rsid w:val="00C6730C"/>
    <w:rsid w:val="00C97C7D"/>
    <w:rsid w:val="00D66B42"/>
    <w:rsid w:val="00D95F2A"/>
    <w:rsid w:val="00DA45BB"/>
    <w:rsid w:val="00DB2D0B"/>
    <w:rsid w:val="00DC3E76"/>
    <w:rsid w:val="00DF2320"/>
    <w:rsid w:val="00E46883"/>
    <w:rsid w:val="00E51DFB"/>
    <w:rsid w:val="00EC62AC"/>
    <w:rsid w:val="00EE66EA"/>
    <w:rsid w:val="00F93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2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1D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1D80"/>
    <w:rPr>
      <w:rFonts w:ascii="Tahoma" w:hAnsi="Tahoma" w:cs="Tahoma"/>
      <w:sz w:val="16"/>
      <w:szCs w:val="16"/>
      <w:lang w:eastAsia="en-US"/>
    </w:rPr>
  </w:style>
  <w:style w:type="character" w:styleId="Hyperlink">
    <w:name w:val="Hyperlink"/>
    <w:basedOn w:val="DefaultParagraphFont"/>
    <w:uiPriority w:val="99"/>
    <w:unhideWhenUsed/>
    <w:rsid w:val="00022802"/>
    <w:rPr>
      <w:color w:val="0000FF" w:themeColor="hyperlink"/>
      <w:u w:val="single"/>
    </w:rPr>
  </w:style>
  <w:style w:type="character" w:styleId="PlaceholderText">
    <w:name w:val="Placeholder Text"/>
    <w:basedOn w:val="DefaultParagraphFont"/>
    <w:uiPriority w:val="99"/>
    <w:semiHidden/>
    <w:rsid w:val="006E533A"/>
    <w:rPr>
      <w:color w:val="808080"/>
    </w:rPr>
  </w:style>
  <w:style w:type="character" w:styleId="FollowedHyperlink">
    <w:name w:val="FollowedHyperlink"/>
    <w:basedOn w:val="DefaultParagraphFont"/>
    <w:uiPriority w:val="99"/>
    <w:semiHidden/>
    <w:unhideWhenUsed/>
    <w:rsid w:val="00A54D58"/>
    <w:rPr>
      <w:color w:val="800080" w:themeColor="followedHyperlink"/>
      <w:u w:val="single"/>
    </w:rPr>
  </w:style>
  <w:style w:type="paragraph" w:styleId="ListParagraph">
    <w:name w:val="List Paragraph"/>
    <w:basedOn w:val="Normal"/>
    <w:uiPriority w:val="34"/>
    <w:qFormat/>
    <w:rsid w:val="008D4AB8"/>
    <w:pPr>
      <w:ind w:left="720"/>
      <w:contextualSpacing/>
    </w:pPr>
  </w:style>
  <w:style w:type="character" w:styleId="CommentReference">
    <w:name w:val="annotation reference"/>
    <w:basedOn w:val="DefaultParagraphFont"/>
    <w:uiPriority w:val="99"/>
    <w:semiHidden/>
    <w:unhideWhenUsed/>
    <w:rsid w:val="00292CC4"/>
    <w:rPr>
      <w:sz w:val="16"/>
      <w:szCs w:val="16"/>
    </w:rPr>
  </w:style>
  <w:style w:type="paragraph" w:styleId="CommentText">
    <w:name w:val="annotation text"/>
    <w:basedOn w:val="Normal"/>
    <w:link w:val="CommentTextChar"/>
    <w:uiPriority w:val="99"/>
    <w:semiHidden/>
    <w:unhideWhenUsed/>
    <w:rsid w:val="00292CC4"/>
    <w:pPr>
      <w:spacing w:line="240" w:lineRule="auto"/>
    </w:pPr>
    <w:rPr>
      <w:sz w:val="20"/>
      <w:szCs w:val="20"/>
    </w:rPr>
  </w:style>
  <w:style w:type="character" w:customStyle="1" w:styleId="CommentTextChar">
    <w:name w:val="Comment Text Char"/>
    <w:basedOn w:val="DefaultParagraphFont"/>
    <w:link w:val="CommentText"/>
    <w:uiPriority w:val="99"/>
    <w:semiHidden/>
    <w:rsid w:val="00292CC4"/>
    <w:rPr>
      <w:lang w:eastAsia="en-US"/>
    </w:rPr>
  </w:style>
  <w:style w:type="paragraph" w:styleId="CommentSubject">
    <w:name w:val="annotation subject"/>
    <w:basedOn w:val="CommentText"/>
    <w:next w:val="CommentText"/>
    <w:link w:val="CommentSubjectChar"/>
    <w:uiPriority w:val="99"/>
    <w:semiHidden/>
    <w:unhideWhenUsed/>
    <w:rsid w:val="00292CC4"/>
    <w:rPr>
      <w:b/>
      <w:bCs/>
    </w:rPr>
  </w:style>
  <w:style w:type="character" w:customStyle="1" w:styleId="CommentSubjectChar">
    <w:name w:val="Comment Subject Char"/>
    <w:basedOn w:val="CommentTextChar"/>
    <w:link w:val="CommentSubject"/>
    <w:uiPriority w:val="99"/>
    <w:semiHidden/>
    <w:rsid w:val="00292CC4"/>
    <w:rPr>
      <w:b/>
      <w:bCs/>
      <w:lang w:eastAsia="en-US"/>
    </w:rPr>
  </w:style>
  <w:style w:type="paragraph" w:styleId="Revision">
    <w:name w:val="Revision"/>
    <w:hidden/>
    <w:uiPriority w:val="99"/>
    <w:semiHidden/>
    <w:rsid w:val="000A091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2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1D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1D80"/>
    <w:rPr>
      <w:rFonts w:ascii="Tahoma" w:hAnsi="Tahoma" w:cs="Tahoma"/>
      <w:sz w:val="16"/>
      <w:szCs w:val="16"/>
      <w:lang w:eastAsia="en-US"/>
    </w:rPr>
  </w:style>
  <w:style w:type="character" w:styleId="Hyperlink">
    <w:name w:val="Hyperlink"/>
    <w:basedOn w:val="DefaultParagraphFont"/>
    <w:uiPriority w:val="99"/>
    <w:unhideWhenUsed/>
    <w:rsid w:val="00022802"/>
    <w:rPr>
      <w:color w:val="0000FF" w:themeColor="hyperlink"/>
      <w:u w:val="single"/>
    </w:rPr>
  </w:style>
  <w:style w:type="character" w:styleId="PlaceholderText">
    <w:name w:val="Placeholder Text"/>
    <w:basedOn w:val="DefaultParagraphFont"/>
    <w:uiPriority w:val="99"/>
    <w:semiHidden/>
    <w:rsid w:val="006E533A"/>
    <w:rPr>
      <w:color w:val="808080"/>
    </w:rPr>
  </w:style>
  <w:style w:type="character" w:styleId="FollowedHyperlink">
    <w:name w:val="FollowedHyperlink"/>
    <w:basedOn w:val="DefaultParagraphFont"/>
    <w:uiPriority w:val="99"/>
    <w:semiHidden/>
    <w:unhideWhenUsed/>
    <w:rsid w:val="00A54D58"/>
    <w:rPr>
      <w:color w:val="800080" w:themeColor="followedHyperlink"/>
      <w:u w:val="single"/>
    </w:rPr>
  </w:style>
  <w:style w:type="paragraph" w:styleId="ListParagraph">
    <w:name w:val="List Paragraph"/>
    <w:basedOn w:val="Normal"/>
    <w:uiPriority w:val="34"/>
    <w:qFormat/>
    <w:rsid w:val="008D4AB8"/>
    <w:pPr>
      <w:ind w:left="720"/>
      <w:contextualSpacing/>
    </w:pPr>
  </w:style>
  <w:style w:type="character" w:styleId="CommentReference">
    <w:name w:val="annotation reference"/>
    <w:basedOn w:val="DefaultParagraphFont"/>
    <w:uiPriority w:val="99"/>
    <w:semiHidden/>
    <w:unhideWhenUsed/>
    <w:rsid w:val="00292CC4"/>
    <w:rPr>
      <w:sz w:val="16"/>
      <w:szCs w:val="16"/>
    </w:rPr>
  </w:style>
  <w:style w:type="paragraph" w:styleId="CommentText">
    <w:name w:val="annotation text"/>
    <w:basedOn w:val="Normal"/>
    <w:link w:val="CommentTextChar"/>
    <w:uiPriority w:val="99"/>
    <w:semiHidden/>
    <w:unhideWhenUsed/>
    <w:rsid w:val="00292CC4"/>
    <w:pPr>
      <w:spacing w:line="240" w:lineRule="auto"/>
    </w:pPr>
    <w:rPr>
      <w:sz w:val="20"/>
      <w:szCs w:val="20"/>
    </w:rPr>
  </w:style>
  <w:style w:type="character" w:customStyle="1" w:styleId="CommentTextChar">
    <w:name w:val="Comment Text Char"/>
    <w:basedOn w:val="DefaultParagraphFont"/>
    <w:link w:val="CommentText"/>
    <w:uiPriority w:val="99"/>
    <w:semiHidden/>
    <w:rsid w:val="00292CC4"/>
    <w:rPr>
      <w:lang w:eastAsia="en-US"/>
    </w:rPr>
  </w:style>
  <w:style w:type="paragraph" w:styleId="CommentSubject">
    <w:name w:val="annotation subject"/>
    <w:basedOn w:val="CommentText"/>
    <w:next w:val="CommentText"/>
    <w:link w:val="CommentSubjectChar"/>
    <w:uiPriority w:val="99"/>
    <w:semiHidden/>
    <w:unhideWhenUsed/>
    <w:rsid w:val="00292CC4"/>
    <w:rPr>
      <w:b/>
      <w:bCs/>
    </w:rPr>
  </w:style>
  <w:style w:type="character" w:customStyle="1" w:styleId="CommentSubjectChar">
    <w:name w:val="Comment Subject Char"/>
    <w:basedOn w:val="CommentTextChar"/>
    <w:link w:val="CommentSubject"/>
    <w:uiPriority w:val="99"/>
    <w:semiHidden/>
    <w:rsid w:val="00292CC4"/>
    <w:rPr>
      <w:b/>
      <w:bCs/>
      <w:lang w:eastAsia="en-US"/>
    </w:rPr>
  </w:style>
  <w:style w:type="paragraph" w:styleId="Revision">
    <w:name w:val="Revision"/>
    <w:hidden/>
    <w:uiPriority w:val="99"/>
    <w:semiHidden/>
    <w:rsid w:val="000A091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293686">
      <w:bodyDiv w:val="1"/>
      <w:marLeft w:val="0"/>
      <w:marRight w:val="0"/>
      <w:marTop w:val="0"/>
      <w:marBottom w:val="0"/>
      <w:divBdr>
        <w:top w:val="none" w:sz="0" w:space="0" w:color="auto"/>
        <w:left w:val="none" w:sz="0" w:space="0" w:color="auto"/>
        <w:bottom w:val="none" w:sz="0" w:space="0" w:color="auto"/>
        <w:right w:val="none" w:sz="0" w:space="0" w:color="auto"/>
      </w:divBdr>
    </w:div>
    <w:div w:id="177867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a.un.org/unpd/wpp/Excel-Data/population.htm" TargetMode="External"/><Relationship Id="rId3" Type="http://schemas.openxmlformats.org/officeDocument/2006/relationships/styles" Target="styles.xml"/><Relationship Id="rId7" Type="http://schemas.openxmlformats.org/officeDocument/2006/relationships/hyperlink" Target="http://www.social-protection.org/gimi/gess/RessourceDownload.action?ressource.ressourceId=3789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A640C-D358-4CFD-8465-564A2F8CD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7078</CharactersWithSpaces>
  <SharedDoc>false</SharedDoc>
  <HLinks>
    <vt:vector size="6" baseType="variant">
      <vt:variant>
        <vt:i4>5177351</vt:i4>
      </vt:variant>
      <vt:variant>
        <vt:i4>0</vt:i4>
      </vt:variant>
      <vt:variant>
        <vt:i4>0</vt:i4>
      </vt:variant>
      <vt:variant>
        <vt:i4>5</vt:i4>
      </vt:variant>
      <vt:variant>
        <vt:lpwstr>https://myintracomm.ec.europa.eu/dg/devco/thematic-activities/infrastructures-networks/Pages/tools-documents-guidelines.aspx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HUSSAIN Medhi (DEVCO)</dc:creator>
  <cp:lastModifiedBy>REINFELD Milena (DEVCO)</cp:lastModifiedBy>
  <cp:revision>9</cp:revision>
  <cp:lastPrinted>2014-08-01T08:09:00Z</cp:lastPrinted>
  <dcterms:created xsi:type="dcterms:W3CDTF">2014-08-01T09:10:00Z</dcterms:created>
  <dcterms:modified xsi:type="dcterms:W3CDTF">2015-02-18T14:00:00Z</dcterms:modified>
</cp:coreProperties>
</file>